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E3" w:rsidRPr="00220878" w:rsidRDefault="004A6F3E" w:rsidP="0022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8">
        <w:rPr>
          <w:rFonts w:ascii="Times New Roman" w:hAnsi="Times New Roman" w:cs="Times New Roman"/>
          <w:b/>
          <w:sz w:val="28"/>
          <w:szCs w:val="28"/>
        </w:rPr>
        <w:t>РФ</w:t>
      </w:r>
    </w:p>
    <w:p w:rsidR="00220878" w:rsidRDefault="00B114E3" w:rsidP="0022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878">
        <w:rPr>
          <w:rFonts w:ascii="Times New Roman" w:hAnsi="Times New Roman"/>
          <w:b/>
          <w:sz w:val="28"/>
          <w:szCs w:val="28"/>
        </w:rPr>
        <w:t xml:space="preserve">АДМИНИСТРАЦИЯ ЗАПАДНОДВИНСКОГО </w:t>
      </w:r>
    </w:p>
    <w:p w:rsidR="00220878" w:rsidRDefault="009B2C5D" w:rsidP="0022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878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4A6F3E" w:rsidRPr="00220878">
        <w:rPr>
          <w:rFonts w:ascii="Times New Roman" w:hAnsi="Times New Roman"/>
          <w:b/>
          <w:sz w:val="28"/>
          <w:szCs w:val="28"/>
        </w:rPr>
        <w:t xml:space="preserve"> </w:t>
      </w:r>
    </w:p>
    <w:p w:rsidR="00B114E3" w:rsidRDefault="00B114E3" w:rsidP="0022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878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20878" w:rsidRPr="00220878" w:rsidRDefault="00220878" w:rsidP="0022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4E3" w:rsidRPr="00220878" w:rsidRDefault="00B114E3" w:rsidP="00220878">
      <w:pPr>
        <w:jc w:val="center"/>
        <w:rPr>
          <w:rFonts w:ascii="Times New Roman" w:hAnsi="Times New Roman"/>
          <w:b/>
          <w:sz w:val="28"/>
          <w:szCs w:val="28"/>
        </w:rPr>
      </w:pPr>
      <w:r w:rsidRPr="00220878">
        <w:rPr>
          <w:rFonts w:ascii="Times New Roman" w:hAnsi="Times New Roman"/>
          <w:b/>
          <w:sz w:val="28"/>
          <w:szCs w:val="28"/>
        </w:rPr>
        <w:t>ПОСТАНОВЛЕНИЕ</w:t>
      </w:r>
    </w:p>
    <w:p w:rsidR="00B114E3" w:rsidRPr="00220878" w:rsidRDefault="00220878" w:rsidP="00B11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25.10.</w:t>
      </w:r>
      <w:r w:rsidR="00B114E3" w:rsidRPr="00220878">
        <w:rPr>
          <w:rFonts w:ascii="Times New Roman" w:hAnsi="Times New Roman" w:cs="Times New Roman"/>
          <w:b/>
          <w:sz w:val="28"/>
          <w:szCs w:val="28"/>
        </w:rPr>
        <w:t>202</w:t>
      </w:r>
      <w:r w:rsidR="009B2C5D" w:rsidRPr="00220878">
        <w:rPr>
          <w:rFonts w:ascii="Times New Roman" w:hAnsi="Times New Roman" w:cs="Times New Roman"/>
          <w:b/>
          <w:sz w:val="28"/>
          <w:szCs w:val="28"/>
        </w:rPr>
        <w:t>2</w:t>
      </w:r>
      <w:r w:rsidR="00F34707" w:rsidRPr="00220878">
        <w:rPr>
          <w:rFonts w:ascii="Times New Roman" w:hAnsi="Times New Roman" w:cs="Times New Roman"/>
          <w:b/>
          <w:sz w:val="28"/>
          <w:szCs w:val="28"/>
        </w:rPr>
        <w:t xml:space="preserve"> 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114E3" w:rsidRPr="002208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г. Западная Двина            </w:t>
      </w:r>
      <w:r w:rsidR="00B114E3" w:rsidRPr="0022087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14E3" w:rsidRPr="0022087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420</w:t>
      </w:r>
    </w:p>
    <w:p w:rsidR="00B114E3" w:rsidRPr="00220878" w:rsidRDefault="00B114E3" w:rsidP="00B114E3">
      <w:pPr>
        <w:spacing w:after="0"/>
        <w:rPr>
          <w:sz w:val="28"/>
          <w:szCs w:val="28"/>
        </w:rPr>
      </w:pPr>
    </w:p>
    <w:p w:rsidR="00B114E3" w:rsidRPr="00220878" w:rsidRDefault="00B114E3" w:rsidP="00B114E3">
      <w:pPr>
        <w:spacing w:after="0"/>
        <w:rPr>
          <w:rFonts w:ascii="Times New Roman" w:hAnsi="Times New Roman"/>
          <w:b/>
          <w:sz w:val="28"/>
          <w:szCs w:val="28"/>
        </w:rPr>
      </w:pPr>
      <w:r w:rsidRPr="00220878">
        <w:rPr>
          <w:rFonts w:ascii="Times New Roman" w:hAnsi="Times New Roman"/>
          <w:b/>
          <w:sz w:val="28"/>
          <w:szCs w:val="28"/>
        </w:rPr>
        <w:t>О прогнозе социально-экономического развития</w:t>
      </w:r>
    </w:p>
    <w:p w:rsidR="00D17E82" w:rsidRPr="00220878" w:rsidRDefault="00B114E3" w:rsidP="00B114E3">
      <w:pPr>
        <w:spacing w:after="0"/>
        <w:rPr>
          <w:rFonts w:ascii="Times New Roman" w:hAnsi="Times New Roman"/>
          <w:b/>
          <w:sz w:val="28"/>
          <w:szCs w:val="28"/>
        </w:rPr>
      </w:pPr>
      <w:r w:rsidRPr="00220878">
        <w:rPr>
          <w:rFonts w:ascii="Times New Roman" w:hAnsi="Times New Roman"/>
          <w:b/>
          <w:sz w:val="28"/>
          <w:szCs w:val="28"/>
        </w:rPr>
        <w:t xml:space="preserve">Западнодвинского </w:t>
      </w:r>
      <w:r w:rsidR="00D17E82" w:rsidRPr="0022087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B114E3" w:rsidRDefault="00B114E3" w:rsidP="00B114E3">
      <w:pPr>
        <w:spacing w:after="0"/>
        <w:rPr>
          <w:rFonts w:ascii="Times New Roman" w:hAnsi="Times New Roman"/>
          <w:b/>
          <w:sz w:val="28"/>
          <w:szCs w:val="28"/>
        </w:rPr>
      </w:pPr>
      <w:r w:rsidRPr="00220878">
        <w:rPr>
          <w:rFonts w:ascii="Times New Roman" w:hAnsi="Times New Roman"/>
          <w:b/>
          <w:sz w:val="28"/>
          <w:szCs w:val="28"/>
        </w:rPr>
        <w:t>Тверской области  на 202</w:t>
      </w:r>
      <w:r w:rsidR="009B2C5D" w:rsidRPr="00220878">
        <w:rPr>
          <w:rFonts w:ascii="Times New Roman" w:hAnsi="Times New Roman"/>
          <w:b/>
          <w:sz w:val="28"/>
          <w:szCs w:val="28"/>
        </w:rPr>
        <w:t>3</w:t>
      </w:r>
      <w:r w:rsidRPr="00220878">
        <w:rPr>
          <w:rFonts w:ascii="Times New Roman" w:hAnsi="Times New Roman"/>
          <w:b/>
          <w:sz w:val="28"/>
          <w:szCs w:val="28"/>
        </w:rPr>
        <w:t xml:space="preserve"> год</w:t>
      </w:r>
      <w:r w:rsidR="00D17E82" w:rsidRPr="00220878">
        <w:rPr>
          <w:rFonts w:ascii="Times New Roman" w:hAnsi="Times New Roman"/>
          <w:b/>
          <w:sz w:val="28"/>
          <w:szCs w:val="28"/>
        </w:rPr>
        <w:t xml:space="preserve"> </w:t>
      </w:r>
      <w:r w:rsidRPr="00220878">
        <w:rPr>
          <w:rFonts w:ascii="Times New Roman" w:hAnsi="Times New Roman"/>
          <w:b/>
          <w:sz w:val="28"/>
          <w:szCs w:val="28"/>
        </w:rPr>
        <w:t xml:space="preserve"> и на период до  202</w:t>
      </w:r>
      <w:r w:rsidR="009B2C5D" w:rsidRPr="00220878">
        <w:rPr>
          <w:rFonts w:ascii="Times New Roman" w:hAnsi="Times New Roman"/>
          <w:b/>
          <w:sz w:val="28"/>
          <w:szCs w:val="28"/>
        </w:rPr>
        <w:t>5</w:t>
      </w:r>
      <w:r w:rsidRPr="00220878">
        <w:rPr>
          <w:rFonts w:ascii="Times New Roman" w:hAnsi="Times New Roman"/>
          <w:b/>
          <w:sz w:val="28"/>
          <w:szCs w:val="28"/>
        </w:rPr>
        <w:t xml:space="preserve">  года</w:t>
      </w:r>
    </w:p>
    <w:p w:rsidR="00220878" w:rsidRPr="00220878" w:rsidRDefault="00220878" w:rsidP="00B114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14E3" w:rsidRPr="00220878" w:rsidRDefault="00B114E3" w:rsidP="009B2C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0878">
        <w:rPr>
          <w:rFonts w:ascii="Times New Roman" w:hAnsi="Times New Roman"/>
          <w:sz w:val="28"/>
          <w:szCs w:val="28"/>
        </w:rPr>
        <w:t xml:space="preserve">В соответствии с пунктом 6 статьи </w:t>
      </w:r>
      <w:r w:rsidR="00835A39" w:rsidRPr="00220878">
        <w:rPr>
          <w:rFonts w:ascii="Times New Roman" w:hAnsi="Times New Roman"/>
          <w:sz w:val="28"/>
          <w:szCs w:val="28"/>
        </w:rPr>
        <w:t>9</w:t>
      </w:r>
      <w:r w:rsidRPr="00220878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220878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Pr="00220878">
        <w:rPr>
          <w:rFonts w:ascii="Times New Roman" w:hAnsi="Times New Roman"/>
          <w:sz w:val="28"/>
          <w:szCs w:val="28"/>
        </w:rPr>
        <w:t xml:space="preserve"> </w:t>
      </w:r>
      <w:r w:rsidR="009B2C5D" w:rsidRPr="00220878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Pr="00220878">
        <w:rPr>
          <w:rFonts w:ascii="Times New Roman" w:hAnsi="Times New Roman"/>
          <w:sz w:val="28"/>
          <w:szCs w:val="28"/>
        </w:rPr>
        <w:t xml:space="preserve">Тверской области от </w:t>
      </w:r>
      <w:r w:rsidR="00DE7ACD" w:rsidRPr="00220878">
        <w:rPr>
          <w:rFonts w:ascii="Times New Roman" w:hAnsi="Times New Roman"/>
          <w:sz w:val="28"/>
          <w:szCs w:val="28"/>
        </w:rPr>
        <w:t>24</w:t>
      </w:r>
      <w:r w:rsidRPr="00220878">
        <w:rPr>
          <w:rFonts w:ascii="Times New Roman" w:hAnsi="Times New Roman"/>
          <w:sz w:val="28"/>
          <w:szCs w:val="28"/>
        </w:rPr>
        <w:t>.</w:t>
      </w:r>
      <w:r w:rsidR="00DE7ACD" w:rsidRPr="00220878">
        <w:rPr>
          <w:rFonts w:ascii="Times New Roman" w:hAnsi="Times New Roman"/>
          <w:sz w:val="28"/>
          <w:szCs w:val="28"/>
        </w:rPr>
        <w:t>12</w:t>
      </w:r>
      <w:r w:rsidRPr="00220878">
        <w:rPr>
          <w:rFonts w:ascii="Times New Roman" w:hAnsi="Times New Roman"/>
          <w:sz w:val="28"/>
          <w:szCs w:val="28"/>
        </w:rPr>
        <w:t>.20</w:t>
      </w:r>
      <w:r w:rsidR="00DE7ACD" w:rsidRPr="00220878">
        <w:rPr>
          <w:rFonts w:ascii="Times New Roman" w:hAnsi="Times New Roman"/>
          <w:sz w:val="28"/>
          <w:szCs w:val="28"/>
        </w:rPr>
        <w:t>20</w:t>
      </w:r>
      <w:r w:rsidRPr="00220878">
        <w:rPr>
          <w:rFonts w:ascii="Times New Roman" w:hAnsi="Times New Roman"/>
          <w:sz w:val="28"/>
          <w:szCs w:val="28"/>
        </w:rPr>
        <w:t xml:space="preserve"> года № </w:t>
      </w:r>
      <w:r w:rsidR="00DE7ACD" w:rsidRPr="00220878">
        <w:rPr>
          <w:rFonts w:ascii="Times New Roman" w:hAnsi="Times New Roman"/>
          <w:sz w:val="28"/>
          <w:szCs w:val="28"/>
        </w:rPr>
        <w:t>36</w:t>
      </w:r>
      <w:r w:rsidRPr="00220878">
        <w:rPr>
          <w:rFonts w:ascii="Times New Roman" w:hAnsi="Times New Roman"/>
          <w:sz w:val="28"/>
          <w:szCs w:val="28"/>
        </w:rPr>
        <w:t xml:space="preserve"> и постановлением администрации Западнодвинского </w:t>
      </w:r>
      <w:r w:rsidR="009B2C5D" w:rsidRPr="00220878">
        <w:rPr>
          <w:rFonts w:ascii="Times New Roman" w:hAnsi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/>
          <w:sz w:val="28"/>
          <w:szCs w:val="28"/>
        </w:rPr>
        <w:t xml:space="preserve"> Тверской области от </w:t>
      </w:r>
      <w:r w:rsidR="009B2C5D" w:rsidRPr="00220878">
        <w:rPr>
          <w:rFonts w:ascii="Times New Roman" w:hAnsi="Times New Roman"/>
          <w:sz w:val="28"/>
          <w:szCs w:val="28"/>
        </w:rPr>
        <w:t>10</w:t>
      </w:r>
      <w:r w:rsidRPr="00220878">
        <w:rPr>
          <w:rFonts w:ascii="Times New Roman" w:hAnsi="Times New Roman"/>
          <w:sz w:val="28"/>
          <w:szCs w:val="28"/>
        </w:rPr>
        <w:t>.0</w:t>
      </w:r>
      <w:r w:rsidR="009B2C5D" w:rsidRPr="00220878">
        <w:rPr>
          <w:rFonts w:ascii="Times New Roman" w:hAnsi="Times New Roman"/>
          <w:sz w:val="28"/>
          <w:szCs w:val="28"/>
        </w:rPr>
        <w:t>8</w:t>
      </w:r>
      <w:r w:rsidRPr="00220878">
        <w:rPr>
          <w:rFonts w:ascii="Times New Roman" w:hAnsi="Times New Roman"/>
          <w:sz w:val="28"/>
          <w:szCs w:val="28"/>
        </w:rPr>
        <w:t>.20</w:t>
      </w:r>
      <w:r w:rsidR="009B2C5D" w:rsidRPr="00220878">
        <w:rPr>
          <w:rFonts w:ascii="Times New Roman" w:hAnsi="Times New Roman"/>
          <w:sz w:val="28"/>
          <w:szCs w:val="28"/>
        </w:rPr>
        <w:t>22</w:t>
      </w:r>
      <w:r w:rsidRPr="00220878">
        <w:rPr>
          <w:rFonts w:ascii="Times New Roman" w:hAnsi="Times New Roman"/>
          <w:sz w:val="28"/>
          <w:szCs w:val="28"/>
        </w:rPr>
        <w:t xml:space="preserve"> года № 3</w:t>
      </w:r>
      <w:r w:rsidR="009B2C5D" w:rsidRPr="00220878">
        <w:rPr>
          <w:rFonts w:ascii="Times New Roman" w:hAnsi="Times New Roman"/>
          <w:sz w:val="28"/>
          <w:szCs w:val="28"/>
        </w:rPr>
        <w:t>36</w:t>
      </w:r>
      <w:r w:rsidRPr="00220878">
        <w:rPr>
          <w:rFonts w:ascii="Times New Roman" w:hAnsi="Times New Roman"/>
          <w:sz w:val="28"/>
          <w:szCs w:val="28"/>
        </w:rPr>
        <w:t xml:space="preserve"> «Об утверждении Порядка разработки</w:t>
      </w:r>
      <w:r w:rsidR="009B2C5D" w:rsidRPr="00220878">
        <w:rPr>
          <w:rFonts w:ascii="Times New Roman" w:hAnsi="Times New Roman"/>
          <w:sz w:val="28"/>
          <w:szCs w:val="28"/>
        </w:rPr>
        <w:t xml:space="preserve"> и корректировки</w:t>
      </w:r>
      <w:r w:rsidRPr="00220878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Западнодвинского </w:t>
      </w:r>
      <w:r w:rsidR="009B2C5D" w:rsidRPr="00220878">
        <w:rPr>
          <w:rFonts w:ascii="Times New Roman" w:hAnsi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/>
          <w:sz w:val="28"/>
          <w:szCs w:val="28"/>
        </w:rPr>
        <w:t xml:space="preserve"> Тверской области на среднесрочный период»</w:t>
      </w:r>
      <w:r w:rsidRPr="00220878">
        <w:rPr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</w:t>
      </w:r>
      <w:r w:rsidR="009B2C5D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Тверской области  </w:t>
      </w:r>
      <w:r w:rsidRPr="00220878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114E3" w:rsidRPr="00220878" w:rsidRDefault="00B114E3" w:rsidP="009B2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 xml:space="preserve">1.Одобрить прогноз социально-экономического развития Западнодвинского </w:t>
      </w:r>
      <w:r w:rsidR="00D17E82" w:rsidRPr="00220878">
        <w:rPr>
          <w:rFonts w:ascii="Times New Roman" w:hAnsi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/>
          <w:sz w:val="28"/>
          <w:szCs w:val="28"/>
        </w:rPr>
        <w:t xml:space="preserve"> Тверской области на 202</w:t>
      </w:r>
      <w:r w:rsidR="009B2C5D" w:rsidRPr="00220878">
        <w:rPr>
          <w:rFonts w:ascii="Times New Roman" w:hAnsi="Times New Roman"/>
          <w:sz w:val="28"/>
          <w:szCs w:val="28"/>
        </w:rPr>
        <w:t>3</w:t>
      </w:r>
      <w:r w:rsidRPr="00220878">
        <w:rPr>
          <w:rFonts w:ascii="Times New Roman" w:hAnsi="Times New Roman"/>
          <w:sz w:val="28"/>
          <w:szCs w:val="28"/>
        </w:rPr>
        <w:t xml:space="preserve"> год и на период  до 202</w:t>
      </w:r>
      <w:r w:rsidR="009B2C5D" w:rsidRPr="00220878">
        <w:rPr>
          <w:rFonts w:ascii="Times New Roman" w:hAnsi="Times New Roman"/>
          <w:sz w:val="28"/>
          <w:szCs w:val="28"/>
        </w:rPr>
        <w:t>5</w:t>
      </w:r>
      <w:r w:rsidRPr="00220878"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9B2C5D" w:rsidRPr="00220878" w:rsidRDefault="00B114E3" w:rsidP="009B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>2</w:t>
      </w:r>
      <w:r w:rsidR="00220878">
        <w:rPr>
          <w:rFonts w:ascii="Times New Roman" w:hAnsi="Times New Roman" w:cs="Times New Roman"/>
          <w:sz w:val="28"/>
          <w:szCs w:val="28"/>
        </w:rPr>
        <w:t>.</w:t>
      </w:r>
      <w:r w:rsidRPr="002208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B2C5D" w:rsidRPr="00220878">
        <w:rPr>
          <w:rFonts w:ascii="Times New Roman" w:hAnsi="Times New Roman" w:cs="Times New Roman"/>
          <w:sz w:val="28"/>
          <w:szCs w:val="28"/>
        </w:rPr>
        <w:t>П</w:t>
      </w:r>
      <w:r w:rsidRPr="0022087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9B2C5D" w:rsidRPr="00220878">
        <w:rPr>
          <w:rFonts w:ascii="Times New Roman" w:hAnsi="Times New Roman" w:cs="Times New Roman"/>
          <w:sz w:val="28"/>
          <w:szCs w:val="28"/>
        </w:rPr>
        <w:t>опубликов</w:t>
      </w:r>
      <w:r w:rsidRPr="00220878">
        <w:rPr>
          <w:rFonts w:ascii="Times New Roman" w:hAnsi="Times New Roman" w:cs="Times New Roman"/>
          <w:sz w:val="28"/>
          <w:szCs w:val="28"/>
        </w:rPr>
        <w:t>ания</w:t>
      </w:r>
      <w:r w:rsidR="009B2C5D" w:rsidRPr="00220878">
        <w:rPr>
          <w:rFonts w:ascii="Times New Roman" w:hAnsi="Times New Roman" w:cs="Times New Roman"/>
          <w:sz w:val="28"/>
          <w:szCs w:val="28"/>
        </w:rPr>
        <w:t>.</w:t>
      </w:r>
    </w:p>
    <w:p w:rsidR="00B114E3" w:rsidRPr="00220878" w:rsidRDefault="00220878" w:rsidP="009B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C5D" w:rsidRPr="0022087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114E3" w:rsidRPr="0022087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«Авангард» и</w:t>
      </w:r>
      <w:r w:rsidR="009B2C5D" w:rsidRPr="00220878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B114E3" w:rsidRPr="002208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Западнодвинского </w:t>
      </w:r>
      <w:r w:rsidR="009B2C5D" w:rsidRPr="00220878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B114E3" w:rsidRPr="00220878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Интернет.</w:t>
      </w:r>
    </w:p>
    <w:p w:rsidR="00B114E3" w:rsidRDefault="00B114E3" w:rsidP="00B114E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0878" w:rsidRDefault="00220878" w:rsidP="00B114E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0878" w:rsidRPr="00220878" w:rsidRDefault="00220878" w:rsidP="00B114E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145A" w:rsidRPr="00220878" w:rsidRDefault="00B57F48" w:rsidP="00AA1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C5D" w:rsidRPr="00220878">
        <w:rPr>
          <w:rFonts w:ascii="Times New Roman" w:hAnsi="Times New Roman" w:cs="Times New Roman"/>
          <w:sz w:val="28"/>
          <w:szCs w:val="28"/>
        </w:rPr>
        <w:t>Г</w:t>
      </w:r>
      <w:r w:rsidR="00AA145A" w:rsidRPr="00220878">
        <w:rPr>
          <w:rFonts w:ascii="Times New Roman" w:hAnsi="Times New Roman" w:cs="Times New Roman"/>
          <w:sz w:val="28"/>
          <w:szCs w:val="28"/>
        </w:rPr>
        <w:t>лав</w:t>
      </w:r>
      <w:r w:rsidR="009B2C5D" w:rsidRPr="00220878">
        <w:rPr>
          <w:rFonts w:ascii="Times New Roman" w:hAnsi="Times New Roman" w:cs="Times New Roman"/>
          <w:sz w:val="28"/>
          <w:szCs w:val="28"/>
        </w:rPr>
        <w:t>а</w:t>
      </w:r>
      <w:r w:rsidR="00AA145A" w:rsidRPr="00220878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9B2C5D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45A" w:rsidRPr="00220878">
        <w:rPr>
          <w:rFonts w:ascii="Times New Roman" w:hAnsi="Times New Roman" w:cs="Times New Roman"/>
          <w:sz w:val="28"/>
          <w:szCs w:val="28"/>
        </w:rPr>
        <w:t>О.А.</w:t>
      </w:r>
      <w:r w:rsidR="0022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5A" w:rsidRPr="00220878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B114E3" w:rsidRPr="00220878" w:rsidRDefault="00B114E3" w:rsidP="00AA1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4E3" w:rsidRPr="00220878" w:rsidRDefault="00B114E3" w:rsidP="0002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4E3" w:rsidRPr="00220878" w:rsidRDefault="00B114E3" w:rsidP="0002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D7" w:rsidRDefault="001406D7" w:rsidP="0002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78" w:rsidRDefault="00220878" w:rsidP="0002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78" w:rsidRDefault="00220878" w:rsidP="0002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78" w:rsidRDefault="00220878" w:rsidP="00021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878" w:rsidRDefault="00220878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7E82" w:rsidRPr="00220878" w:rsidRDefault="00D17E82" w:rsidP="00220878">
      <w:pPr>
        <w:shd w:val="clear" w:color="auto" w:fill="FFFFFF"/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08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17E82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20878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9B2C5D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20878">
        <w:rPr>
          <w:rFonts w:ascii="Times New Roman" w:hAnsi="Times New Roman" w:cs="Times New Roman"/>
          <w:sz w:val="20"/>
          <w:szCs w:val="20"/>
        </w:rPr>
        <w:t>администрации Западнодвинского</w:t>
      </w:r>
    </w:p>
    <w:p w:rsidR="00D17E82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20878">
        <w:rPr>
          <w:rFonts w:ascii="Times New Roman" w:hAnsi="Times New Roman" w:cs="Times New Roman"/>
          <w:sz w:val="20"/>
          <w:szCs w:val="20"/>
        </w:rPr>
        <w:t xml:space="preserve"> </w:t>
      </w:r>
      <w:r w:rsidR="009B2C5D" w:rsidRPr="00220878">
        <w:rPr>
          <w:rFonts w:ascii="Times New Roman" w:hAnsi="Times New Roman" w:cs="Times New Roman"/>
          <w:sz w:val="20"/>
          <w:szCs w:val="20"/>
        </w:rPr>
        <w:t>муниципального округа Тверской области</w:t>
      </w:r>
    </w:p>
    <w:p w:rsidR="00D17E82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20878">
        <w:rPr>
          <w:rFonts w:ascii="Times New Roman" w:hAnsi="Times New Roman" w:cs="Times New Roman"/>
          <w:sz w:val="20"/>
          <w:szCs w:val="20"/>
        </w:rPr>
        <w:t xml:space="preserve"> от </w:t>
      </w:r>
      <w:r w:rsidR="00220878">
        <w:rPr>
          <w:rFonts w:ascii="Times New Roman" w:hAnsi="Times New Roman" w:cs="Times New Roman"/>
          <w:sz w:val="20"/>
          <w:szCs w:val="20"/>
        </w:rPr>
        <w:t>25.10.</w:t>
      </w:r>
      <w:r w:rsidR="00F34707" w:rsidRPr="00220878">
        <w:rPr>
          <w:rFonts w:ascii="Times New Roman" w:hAnsi="Times New Roman" w:cs="Times New Roman"/>
          <w:sz w:val="20"/>
          <w:szCs w:val="20"/>
        </w:rPr>
        <w:t>202</w:t>
      </w:r>
      <w:r w:rsidR="009B2C5D" w:rsidRPr="00220878">
        <w:rPr>
          <w:rFonts w:ascii="Times New Roman" w:hAnsi="Times New Roman" w:cs="Times New Roman"/>
          <w:sz w:val="20"/>
          <w:szCs w:val="20"/>
        </w:rPr>
        <w:t>2</w:t>
      </w:r>
      <w:r w:rsidRPr="00220878">
        <w:rPr>
          <w:rFonts w:ascii="Times New Roman" w:hAnsi="Times New Roman" w:cs="Times New Roman"/>
          <w:sz w:val="20"/>
          <w:szCs w:val="20"/>
        </w:rPr>
        <w:t xml:space="preserve"> № </w:t>
      </w:r>
      <w:r w:rsidR="00220878">
        <w:rPr>
          <w:rFonts w:ascii="Times New Roman" w:hAnsi="Times New Roman" w:cs="Times New Roman"/>
          <w:sz w:val="20"/>
          <w:szCs w:val="20"/>
        </w:rPr>
        <w:t>420</w:t>
      </w:r>
    </w:p>
    <w:p w:rsidR="00D17E82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B2C5D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8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 Западнодвинского муниципального округа Тверской области  на 202</w:t>
      </w:r>
      <w:r w:rsidR="009B2C5D" w:rsidRPr="00220878">
        <w:rPr>
          <w:rFonts w:ascii="Times New Roman" w:hAnsi="Times New Roman" w:cs="Times New Roman"/>
          <w:b/>
          <w:sz w:val="28"/>
          <w:szCs w:val="28"/>
        </w:rPr>
        <w:t>3</w:t>
      </w:r>
      <w:r w:rsidRPr="00220878">
        <w:rPr>
          <w:rFonts w:ascii="Times New Roman" w:hAnsi="Times New Roman" w:cs="Times New Roman"/>
          <w:b/>
          <w:sz w:val="28"/>
          <w:szCs w:val="28"/>
        </w:rPr>
        <w:t xml:space="preserve"> год </w:t>
      </w:r>
    </w:p>
    <w:p w:rsidR="00D17E82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8">
        <w:rPr>
          <w:rFonts w:ascii="Times New Roman" w:hAnsi="Times New Roman" w:cs="Times New Roman"/>
          <w:b/>
          <w:sz w:val="28"/>
          <w:szCs w:val="28"/>
        </w:rPr>
        <w:t xml:space="preserve">и на </w:t>
      </w:r>
      <w:r w:rsidR="00483497" w:rsidRPr="00220878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220878">
        <w:rPr>
          <w:rFonts w:ascii="Times New Roman" w:hAnsi="Times New Roman" w:cs="Times New Roman"/>
          <w:b/>
          <w:sz w:val="28"/>
          <w:szCs w:val="28"/>
        </w:rPr>
        <w:t>до 202</w:t>
      </w:r>
      <w:r w:rsidR="009B2C5D" w:rsidRPr="00220878">
        <w:rPr>
          <w:rFonts w:ascii="Times New Roman" w:hAnsi="Times New Roman" w:cs="Times New Roman"/>
          <w:b/>
          <w:sz w:val="28"/>
          <w:szCs w:val="28"/>
        </w:rPr>
        <w:t>5</w:t>
      </w:r>
      <w:r w:rsidRPr="002208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7E82" w:rsidRPr="00220878" w:rsidRDefault="00D17E82" w:rsidP="00D17E82">
      <w:pPr>
        <w:shd w:val="clear" w:color="auto" w:fill="FFFFFF"/>
        <w:tabs>
          <w:tab w:val="left" w:pos="3010"/>
        </w:tabs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20" w:rsidRPr="00220878" w:rsidRDefault="00021520" w:rsidP="00B114E3">
      <w:pPr>
        <w:shd w:val="clear" w:color="auto" w:fill="FFFFFF"/>
        <w:tabs>
          <w:tab w:val="left" w:pos="3010"/>
        </w:tabs>
        <w:spacing w:after="0"/>
        <w:ind w:firstLine="696"/>
        <w:jc w:val="both"/>
        <w:rPr>
          <w:sz w:val="28"/>
          <w:szCs w:val="28"/>
        </w:rPr>
      </w:pPr>
      <w:proofErr w:type="gramStart"/>
      <w:r w:rsidRPr="0022087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Западнодвинского </w:t>
      </w:r>
      <w:r w:rsidR="008F4328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E218C" w:rsidRPr="0022087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41F6C" w:rsidRPr="0022087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E218C" w:rsidRPr="00220878">
        <w:rPr>
          <w:rFonts w:ascii="Times New Roman" w:hAnsi="Times New Roman" w:cs="Times New Roman"/>
          <w:sz w:val="28"/>
          <w:szCs w:val="28"/>
        </w:rPr>
        <w:t>круга)</w:t>
      </w:r>
      <w:r w:rsidRPr="00220878">
        <w:rPr>
          <w:rFonts w:ascii="Times New Roman" w:hAnsi="Times New Roman" w:cs="Times New Roman"/>
          <w:sz w:val="28"/>
          <w:szCs w:val="28"/>
        </w:rPr>
        <w:t xml:space="preserve"> на 202</w:t>
      </w:r>
      <w:r w:rsidR="009B2C5D" w:rsidRPr="00220878">
        <w:rPr>
          <w:rFonts w:ascii="Times New Roman" w:hAnsi="Times New Roman" w:cs="Times New Roman"/>
          <w:sz w:val="28"/>
          <w:szCs w:val="28"/>
        </w:rPr>
        <w:t>3</w:t>
      </w:r>
      <w:r w:rsidRPr="00220878">
        <w:rPr>
          <w:rFonts w:ascii="Times New Roman" w:hAnsi="Times New Roman" w:cs="Times New Roman"/>
          <w:sz w:val="28"/>
          <w:szCs w:val="28"/>
        </w:rPr>
        <w:t xml:space="preserve"> год и на  период </w:t>
      </w:r>
      <w:r w:rsidR="00D17E82" w:rsidRPr="00220878">
        <w:rPr>
          <w:rFonts w:ascii="Times New Roman" w:hAnsi="Times New Roman" w:cs="Times New Roman"/>
          <w:sz w:val="28"/>
          <w:szCs w:val="28"/>
        </w:rPr>
        <w:t>до</w:t>
      </w:r>
      <w:r w:rsidRPr="00220878">
        <w:rPr>
          <w:rFonts w:ascii="Times New Roman" w:hAnsi="Times New Roman" w:cs="Times New Roman"/>
          <w:sz w:val="28"/>
          <w:szCs w:val="28"/>
        </w:rPr>
        <w:t xml:space="preserve"> 202</w:t>
      </w:r>
      <w:r w:rsidR="009B2C5D" w:rsidRPr="00220878">
        <w:rPr>
          <w:rFonts w:ascii="Times New Roman" w:hAnsi="Times New Roman" w:cs="Times New Roman"/>
          <w:sz w:val="28"/>
          <w:szCs w:val="28"/>
        </w:rPr>
        <w:t>5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</w:t>
      </w:r>
      <w:r w:rsidR="00D17E82" w:rsidRPr="00220878">
        <w:rPr>
          <w:rFonts w:ascii="Times New Roman" w:hAnsi="Times New Roman" w:cs="Times New Roman"/>
          <w:sz w:val="28"/>
          <w:szCs w:val="28"/>
        </w:rPr>
        <w:t>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(далее – Прогноз) подготовлен в соответствии со статьей 11 закона Тверской области  от 15.07.2015 № 66-ЗО «О стратегическом планировании в Тверской области» и постановлением Администрации Западнодвинского </w:t>
      </w:r>
      <w:r w:rsidR="009B2C5D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9B2C5D" w:rsidRPr="00220878">
        <w:rPr>
          <w:rFonts w:ascii="Times New Roman" w:hAnsi="Times New Roman" w:cs="Times New Roman"/>
          <w:sz w:val="28"/>
          <w:szCs w:val="28"/>
        </w:rPr>
        <w:t>10</w:t>
      </w:r>
      <w:r w:rsidRPr="00220878">
        <w:rPr>
          <w:rFonts w:ascii="Times New Roman" w:hAnsi="Times New Roman" w:cs="Times New Roman"/>
          <w:sz w:val="28"/>
          <w:szCs w:val="28"/>
        </w:rPr>
        <w:t>.0</w:t>
      </w:r>
      <w:r w:rsidR="009B2C5D" w:rsidRPr="00220878">
        <w:rPr>
          <w:rFonts w:ascii="Times New Roman" w:hAnsi="Times New Roman" w:cs="Times New Roman"/>
          <w:sz w:val="28"/>
          <w:szCs w:val="28"/>
        </w:rPr>
        <w:t>8</w:t>
      </w:r>
      <w:r w:rsidRPr="00220878">
        <w:rPr>
          <w:rFonts w:ascii="Times New Roman" w:hAnsi="Times New Roman" w:cs="Times New Roman"/>
          <w:sz w:val="28"/>
          <w:szCs w:val="28"/>
        </w:rPr>
        <w:t>.20</w:t>
      </w:r>
      <w:r w:rsidR="009B2C5D" w:rsidRPr="00220878">
        <w:rPr>
          <w:rFonts w:ascii="Times New Roman" w:hAnsi="Times New Roman" w:cs="Times New Roman"/>
          <w:sz w:val="28"/>
          <w:szCs w:val="28"/>
        </w:rPr>
        <w:t>22</w:t>
      </w:r>
      <w:r w:rsidRPr="00220878">
        <w:rPr>
          <w:rFonts w:ascii="Times New Roman" w:hAnsi="Times New Roman" w:cs="Times New Roman"/>
          <w:sz w:val="28"/>
          <w:szCs w:val="28"/>
        </w:rPr>
        <w:t xml:space="preserve"> № 3</w:t>
      </w:r>
      <w:r w:rsidR="009B2C5D" w:rsidRPr="00220878">
        <w:rPr>
          <w:rFonts w:ascii="Times New Roman" w:hAnsi="Times New Roman" w:cs="Times New Roman"/>
          <w:sz w:val="28"/>
          <w:szCs w:val="28"/>
        </w:rPr>
        <w:t>36</w:t>
      </w:r>
      <w:r w:rsidRPr="0022087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</w:t>
      </w:r>
      <w:r w:rsidR="009B2C5D" w:rsidRPr="00220878">
        <w:rPr>
          <w:rFonts w:ascii="Times New Roman" w:hAnsi="Times New Roman" w:cs="Times New Roman"/>
          <w:sz w:val="28"/>
          <w:szCs w:val="28"/>
        </w:rPr>
        <w:t xml:space="preserve"> и корректировки</w:t>
      </w:r>
      <w:r w:rsidRPr="00220878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proofErr w:type="gramEnd"/>
      <w:r w:rsidRPr="00220878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9B2C5D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Тверской области на среднесрочный период» и Порядке </w:t>
      </w:r>
      <w:proofErr w:type="gramStart"/>
      <w:r w:rsidRPr="00220878">
        <w:rPr>
          <w:rFonts w:ascii="Times New Roman" w:hAnsi="Times New Roman" w:cs="Times New Roman"/>
          <w:sz w:val="28"/>
          <w:szCs w:val="28"/>
        </w:rPr>
        <w:t>организации составления проекта бюджета муниципального образования</w:t>
      </w:r>
      <w:proofErr w:type="gramEnd"/>
      <w:r w:rsidRPr="0022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9B2C5D" w:rsidRPr="00220878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220878">
        <w:rPr>
          <w:rFonts w:ascii="Times New Roman" w:hAnsi="Times New Roman" w:cs="Times New Roman"/>
          <w:sz w:val="28"/>
          <w:szCs w:val="28"/>
        </w:rPr>
        <w:t xml:space="preserve"> Тверской области на очередной финансовый год и плановый период».</w:t>
      </w:r>
    </w:p>
    <w:p w:rsidR="00021520" w:rsidRPr="00220878" w:rsidRDefault="00220878" w:rsidP="00B114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520" w:rsidRPr="00220878">
        <w:rPr>
          <w:rFonts w:ascii="Times New Roman" w:hAnsi="Times New Roman" w:cs="Times New Roman"/>
          <w:sz w:val="28"/>
          <w:szCs w:val="28"/>
        </w:rPr>
        <w:t>Прогноз подготовлен на основе сценарных условий функционирования экономики Российской Федерации до 202</w:t>
      </w:r>
      <w:r w:rsidR="009B2C5D" w:rsidRPr="00220878">
        <w:rPr>
          <w:rFonts w:ascii="Times New Roman" w:hAnsi="Times New Roman" w:cs="Times New Roman"/>
          <w:sz w:val="28"/>
          <w:szCs w:val="28"/>
        </w:rPr>
        <w:t>5</w:t>
      </w:r>
      <w:r w:rsidR="00021520" w:rsidRPr="00220878">
        <w:rPr>
          <w:rFonts w:ascii="Times New Roman" w:hAnsi="Times New Roman" w:cs="Times New Roman"/>
          <w:sz w:val="28"/>
          <w:szCs w:val="28"/>
        </w:rPr>
        <w:t xml:space="preserve"> года, рекомендованных Минэкономразвития России, анализа сложившейся ситуации социально-экономического развития  в </w:t>
      </w:r>
      <w:proofErr w:type="spellStart"/>
      <w:r w:rsidR="00021520" w:rsidRPr="00220878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021520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5E218C" w:rsidRPr="00220878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021520" w:rsidRPr="00220878">
        <w:rPr>
          <w:rFonts w:ascii="Times New Roman" w:hAnsi="Times New Roman" w:cs="Times New Roman"/>
          <w:sz w:val="28"/>
          <w:szCs w:val="28"/>
        </w:rPr>
        <w:t xml:space="preserve">  с учетом оценки ожидаемых результатов 20</w:t>
      </w:r>
      <w:r w:rsidR="008F4328" w:rsidRPr="00220878">
        <w:rPr>
          <w:rFonts w:ascii="Times New Roman" w:hAnsi="Times New Roman" w:cs="Times New Roman"/>
          <w:sz w:val="28"/>
          <w:szCs w:val="28"/>
        </w:rPr>
        <w:t>2</w:t>
      </w:r>
      <w:r w:rsidR="009B2C5D" w:rsidRPr="00220878">
        <w:rPr>
          <w:rFonts w:ascii="Times New Roman" w:hAnsi="Times New Roman" w:cs="Times New Roman"/>
          <w:sz w:val="28"/>
          <w:szCs w:val="28"/>
        </w:rPr>
        <w:t>2</w:t>
      </w:r>
      <w:r w:rsidR="00021520" w:rsidRPr="00220878">
        <w:rPr>
          <w:rFonts w:ascii="Times New Roman" w:hAnsi="Times New Roman" w:cs="Times New Roman"/>
          <w:sz w:val="28"/>
          <w:szCs w:val="28"/>
        </w:rPr>
        <w:t xml:space="preserve"> года и тенденций развития экономики </w:t>
      </w:r>
      <w:r w:rsidR="00541F6C" w:rsidRPr="0022087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E218C" w:rsidRPr="00220878">
        <w:rPr>
          <w:rFonts w:ascii="Times New Roman" w:hAnsi="Times New Roman" w:cs="Times New Roman"/>
          <w:sz w:val="28"/>
          <w:szCs w:val="28"/>
        </w:rPr>
        <w:t>круга</w:t>
      </w:r>
      <w:r w:rsidR="00021520" w:rsidRPr="00220878">
        <w:rPr>
          <w:rFonts w:ascii="Times New Roman" w:hAnsi="Times New Roman" w:cs="Times New Roman"/>
          <w:sz w:val="28"/>
          <w:szCs w:val="28"/>
        </w:rPr>
        <w:t xml:space="preserve">  в 202</w:t>
      </w:r>
      <w:r w:rsidR="00541F6C" w:rsidRPr="00220878">
        <w:rPr>
          <w:rFonts w:ascii="Times New Roman" w:hAnsi="Times New Roman" w:cs="Times New Roman"/>
          <w:sz w:val="28"/>
          <w:szCs w:val="28"/>
        </w:rPr>
        <w:t>3</w:t>
      </w:r>
      <w:r w:rsidR="00021520" w:rsidRPr="00220878">
        <w:rPr>
          <w:rFonts w:ascii="Times New Roman" w:hAnsi="Times New Roman" w:cs="Times New Roman"/>
          <w:sz w:val="28"/>
          <w:szCs w:val="28"/>
        </w:rPr>
        <w:t>-202</w:t>
      </w:r>
      <w:r w:rsidR="00541F6C" w:rsidRPr="00220878">
        <w:rPr>
          <w:rFonts w:ascii="Times New Roman" w:hAnsi="Times New Roman" w:cs="Times New Roman"/>
          <w:sz w:val="28"/>
          <w:szCs w:val="28"/>
        </w:rPr>
        <w:t>5</w:t>
      </w:r>
      <w:r w:rsidR="00021520" w:rsidRPr="00220878">
        <w:rPr>
          <w:rFonts w:ascii="Times New Roman" w:hAnsi="Times New Roman" w:cs="Times New Roman"/>
          <w:sz w:val="28"/>
          <w:szCs w:val="28"/>
        </w:rPr>
        <w:t xml:space="preserve"> годах с применением показателей инфляции и индексов-дефляторов, предложенных Минэкономразвития России  до 202</w:t>
      </w:r>
      <w:r w:rsidR="00541F6C" w:rsidRPr="00220878">
        <w:rPr>
          <w:rFonts w:ascii="Times New Roman" w:hAnsi="Times New Roman" w:cs="Times New Roman"/>
          <w:sz w:val="28"/>
          <w:szCs w:val="28"/>
        </w:rPr>
        <w:t>5</w:t>
      </w:r>
      <w:r w:rsidR="00021520" w:rsidRPr="0022087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21520" w:rsidRPr="00220878" w:rsidRDefault="00021520" w:rsidP="00B114E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220878">
        <w:rPr>
          <w:sz w:val="28"/>
          <w:szCs w:val="28"/>
        </w:rPr>
        <w:t xml:space="preserve">При разработке основных параметров прогноза использованы отчетные данные, предоставленные </w:t>
      </w:r>
      <w:proofErr w:type="spellStart"/>
      <w:r w:rsidRPr="00220878">
        <w:rPr>
          <w:sz w:val="28"/>
          <w:szCs w:val="28"/>
        </w:rPr>
        <w:t>Тверьстатом</w:t>
      </w:r>
      <w:proofErr w:type="spellEnd"/>
      <w:r w:rsidRPr="00220878">
        <w:rPr>
          <w:sz w:val="28"/>
          <w:szCs w:val="28"/>
        </w:rPr>
        <w:t xml:space="preserve">, налоговой  инспекцией, материалы хозяйствующих субъектов. </w:t>
      </w:r>
    </w:p>
    <w:p w:rsidR="00021520" w:rsidRPr="00220878" w:rsidRDefault="00021520" w:rsidP="00B114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        Разработка основных параметров развития экономики Западнодвинского </w:t>
      </w:r>
      <w:r w:rsidR="005E218C" w:rsidRPr="0022087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 проведена по двум вариантам:</w:t>
      </w:r>
    </w:p>
    <w:p w:rsidR="00021520" w:rsidRPr="00220878" w:rsidRDefault="00604EE6" w:rsidP="00B114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21520" w:rsidRPr="00220878">
        <w:rPr>
          <w:rFonts w:ascii="Times New Roman" w:eastAsia="Times New Roman" w:hAnsi="Times New Roman" w:cs="Times New Roman"/>
          <w:sz w:val="28"/>
          <w:szCs w:val="28"/>
        </w:rPr>
        <w:t>-первый вариант (консервативный) отражает замедленный процесс развития экономики, при влиянии негативных факторов;</w:t>
      </w:r>
    </w:p>
    <w:p w:rsidR="00021520" w:rsidRPr="00220878" w:rsidRDefault="00021520" w:rsidP="00B114E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220878">
        <w:rPr>
          <w:sz w:val="28"/>
          <w:szCs w:val="28"/>
        </w:rPr>
        <w:t xml:space="preserve">-второй вариант (базовый) отражает сложившуюся тенденцию развития экономики </w:t>
      </w:r>
      <w:r w:rsidR="00541F6C" w:rsidRPr="00220878">
        <w:rPr>
          <w:sz w:val="28"/>
          <w:szCs w:val="28"/>
        </w:rPr>
        <w:t>муниципального ок</w:t>
      </w:r>
      <w:r w:rsidR="005E218C" w:rsidRPr="00220878">
        <w:rPr>
          <w:sz w:val="28"/>
          <w:szCs w:val="28"/>
        </w:rPr>
        <w:t>руга</w:t>
      </w:r>
      <w:r w:rsidRPr="00220878">
        <w:rPr>
          <w:sz w:val="28"/>
          <w:szCs w:val="28"/>
        </w:rPr>
        <w:t>.</w:t>
      </w:r>
    </w:p>
    <w:p w:rsidR="00160E6F" w:rsidRPr="00220878" w:rsidRDefault="00160E6F" w:rsidP="008F4328">
      <w:pPr>
        <w:pStyle w:val="ConsPlusNormal"/>
        <w:jc w:val="center"/>
        <w:rPr>
          <w:b w:val="0"/>
        </w:rPr>
      </w:pPr>
    </w:p>
    <w:p w:rsidR="008F4328" w:rsidRPr="00220878" w:rsidRDefault="008F4328" w:rsidP="008F4328">
      <w:pPr>
        <w:pStyle w:val="ConsPlusNormal"/>
        <w:jc w:val="center"/>
        <w:rPr>
          <w:b w:val="0"/>
        </w:rPr>
      </w:pPr>
      <w:r w:rsidRPr="00220878">
        <w:rPr>
          <w:b w:val="0"/>
        </w:rPr>
        <w:t xml:space="preserve">Раздел </w:t>
      </w:r>
      <w:r w:rsidRPr="00220878">
        <w:rPr>
          <w:b w:val="0"/>
          <w:lang w:val="en-US"/>
        </w:rPr>
        <w:t>I</w:t>
      </w:r>
    </w:p>
    <w:p w:rsidR="008F4328" w:rsidRPr="00220878" w:rsidRDefault="008F4328" w:rsidP="008F4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Оценка достигнутого уровня социально-экономического развития </w:t>
      </w:r>
    </w:p>
    <w:p w:rsidR="008F4328" w:rsidRPr="00220878" w:rsidRDefault="008F4328" w:rsidP="008F4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541F6C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218C" w:rsidRPr="0022087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E5941" w:rsidRPr="00220878">
        <w:rPr>
          <w:rFonts w:ascii="Times New Roman" w:hAnsi="Times New Roman" w:cs="Times New Roman"/>
          <w:sz w:val="28"/>
          <w:szCs w:val="28"/>
        </w:rPr>
        <w:t xml:space="preserve"> за 20</w:t>
      </w:r>
      <w:r w:rsidR="00FA7BA0" w:rsidRPr="00220878">
        <w:rPr>
          <w:rFonts w:ascii="Times New Roman" w:hAnsi="Times New Roman" w:cs="Times New Roman"/>
          <w:sz w:val="28"/>
          <w:szCs w:val="28"/>
        </w:rPr>
        <w:t>2</w:t>
      </w:r>
      <w:r w:rsidR="00541F6C" w:rsidRPr="00220878">
        <w:rPr>
          <w:rFonts w:ascii="Times New Roman" w:hAnsi="Times New Roman" w:cs="Times New Roman"/>
          <w:sz w:val="28"/>
          <w:szCs w:val="28"/>
        </w:rPr>
        <w:t>1</w:t>
      </w:r>
      <w:r w:rsidR="007E5941" w:rsidRPr="002208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4328" w:rsidRPr="00220878" w:rsidRDefault="008F4328" w:rsidP="008F4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328" w:rsidRPr="00220878" w:rsidRDefault="008F4328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proofErr w:type="gramStart"/>
      <w:r w:rsidRPr="00220878">
        <w:rPr>
          <w:sz w:val="28"/>
          <w:szCs w:val="28"/>
        </w:rPr>
        <w:t xml:space="preserve">Оценка достигнутого уровня социально-экономического развития </w:t>
      </w:r>
      <w:r w:rsidR="00C35C1E" w:rsidRPr="00220878">
        <w:rPr>
          <w:sz w:val="28"/>
          <w:szCs w:val="28"/>
        </w:rPr>
        <w:t xml:space="preserve">Западнодвинского </w:t>
      </w:r>
      <w:r w:rsidR="00541F6C" w:rsidRPr="00220878">
        <w:rPr>
          <w:sz w:val="28"/>
          <w:szCs w:val="28"/>
        </w:rPr>
        <w:t>муниципального округа</w:t>
      </w:r>
      <w:r w:rsidR="00B361CD" w:rsidRPr="00220878">
        <w:rPr>
          <w:sz w:val="28"/>
          <w:szCs w:val="28"/>
        </w:rPr>
        <w:t xml:space="preserve"> Тверской области</w:t>
      </w:r>
      <w:r w:rsidRPr="00220878">
        <w:rPr>
          <w:sz w:val="28"/>
          <w:szCs w:val="28"/>
        </w:rPr>
        <w:t xml:space="preserve"> за 20</w:t>
      </w:r>
      <w:r w:rsidR="00FA7BA0" w:rsidRPr="00220878">
        <w:rPr>
          <w:sz w:val="28"/>
          <w:szCs w:val="28"/>
        </w:rPr>
        <w:t>2</w:t>
      </w:r>
      <w:r w:rsidR="00541F6C" w:rsidRPr="00220878">
        <w:rPr>
          <w:sz w:val="28"/>
          <w:szCs w:val="28"/>
        </w:rPr>
        <w:t>1</w:t>
      </w:r>
      <w:r w:rsidRPr="00220878">
        <w:rPr>
          <w:sz w:val="28"/>
          <w:szCs w:val="28"/>
        </w:rPr>
        <w:t xml:space="preserve"> год </w:t>
      </w:r>
      <w:r w:rsidRPr="00220878">
        <w:rPr>
          <w:sz w:val="28"/>
          <w:szCs w:val="28"/>
        </w:rPr>
        <w:lastRenderedPageBreak/>
        <w:t xml:space="preserve">основана на сравнении данных </w:t>
      </w:r>
      <w:proofErr w:type="spellStart"/>
      <w:r w:rsidRPr="00220878">
        <w:rPr>
          <w:sz w:val="28"/>
          <w:szCs w:val="28"/>
        </w:rPr>
        <w:t>Тверьстата</w:t>
      </w:r>
      <w:proofErr w:type="spellEnd"/>
      <w:r w:rsidRPr="00220878">
        <w:rPr>
          <w:sz w:val="28"/>
          <w:szCs w:val="28"/>
        </w:rPr>
        <w:t xml:space="preserve"> (по состоянию на август 202</w:t>
      </w:r>
      <w:r w:rsidR="00541F6C" w:rsidRPr="00220878">
        <w:rPr>
          <w:sz w:val="28"/>
          <w:szCs w:val="28"/>
        </w:rPr>
        <w:t>2</w:t>
      </w:r>
      <w:r w:rsidRPr="00220878">
        <w:rPr>
          <w:sz w:val="28"/>
          <w:szCs w:val="28"/>
        </w:rPr>
        <w:t xml:space="preserve"> года), которые в последующем могут быть уточнены, и показателей прогноза социально-экономического развития </w:t>
      </w:r>
      <w:r w:rsidR="00541F6C" w:rsidRPr="00220878">
        <w:rPr>
          <w:sz w:val="28"/>
          <w:szCs w:val="28"/>
        </w:rPr>
        <w:t>Западнодвинского муниципального округа</w:t>
      </w:r>
      <w:r w:rsidRPr="00220878">
        <w:rPr>
          <w:sz w:val="28"/>
          <w:szCs w:val="28"/>
        </w:rPr>
        <w:t xml:space="preserve"> на 20</w:t>
      </w:r>
      <w:r w:rsidR="00FA7BA0" w:rsidRPr="00220878">
        <w:rPr>
          <w:sz w:val="28"/>
          <w:szCs w:val="28"/>
        </w:rPr>
        <w:t>2</w:t>
      </w:r>
      <w:r w:rsidR="00541F6C" w:rsidRPr="00220878">
        <w:rPr>
          <w:sz w:val="28"/>
          <w:szCs w:val="28"/>
        </w:rPr>
        <w:t>1</w:t>
      </w:r>
      <w:r w:rsidRPr="00220878">
        <w:rPr>
          <w:sz w:val="28"/>
          <w:szCs w:val="28"/>
        </w:rPr>
        <w:t xml:space="preserve"> год и на период 202</w:t>
      </w:r>
      <w:r w:rsidR="00541F6C" w:rsidRPr="00220878">
        <w:rPr>
          <w:sz w:val="28"/>
          <w:szCs w:val="28"/>
        </w:rPr>
        <w:t>2</w:t>
      </w:r>
      <w:r w:rsidRPr="00220878">
        <w:rPr>
          <w:sz w:val="28"/>
          <w:szCs w:val="28"/>
        </w:rPr>
        <w:t xml:space="preserve"> и 202</w:t>
      </w:r>
      <w:r w:rsidR="00541F6C" w:rsidRPr="00220878">
        <w:rPr>
          <w:sz w:val="28"/>
          <w:szCs w:val="28"/>
        </w:rPr>
        <w:t>3 годов, разработанного в 2020</w:t>
      </w:r>
      <w:r w:rsidRPr="00220878">
        <w:rPr>
          <w:sz w:val="28"/>
          <w:szCs w:val="28"/>
        </w:rPr>
        <w:t xml:space="preserve"> году и одобренного </w:t>
      </w:r>
      <w:r w:rsidR="00C35C1E" w:rsidRPr="00220878">
        <w:rPr>
          <w:sz w:val="28"/>
          <w:szCs w:val="28"/>
        </w:rPr>
        <w:t xml:space="preserve">постановлением администрации Западнодвинского </w:t>
      </w:r>
      <w:r w:rsidR="00C35C1E" w:rsidRPr="00220878">
        <w:rPr>
          <w:color w:val="auto"/>
          <w:sz w:val="28"/>
          <w:szCs w:val="28"/>
        </w:rPr>
        <w:t>района</w:t>
      </w:r>
      <w:r w:rsidRPr="00220878">
        <w:rPr>
          <w:color w:val="auto"/>
          <w:sz w:val="28"/>
          <w:szCs w:val="28"/>
        </w:rPr>
        <w:t xml:space="preserve"> от </w:t>
      </w:r>
      <w:r w:rsidR="00FA7BA0" w:rsidRPr="00220878">
        <w:rPr>
          <w:color w:val="auto"/>
          <w:sz w:val="28"/>
          <w:szCs w:val="28"/>
        </w:rPr>
        <w:t>1</w:t>
      </w:r>
      <w:r w:rsidR="00160E6F" w:rsidRPr="00220878">
        <w:rPr>
          <w:color w:val="auto"/>
          <w:sz w:val="28"/>
          <w:szCs w:val="28"/>
        </w:rPr>
        <w:t>5</w:t>
      </w:r>
      <w:r w:rsidRPr="00220878">
        <w:rPr>
          <w:color w:val="auto"/>
          <w:sz w:val="28"/>
          <w:szCs w:val="28"/>
        </w:rPr>
        <w:t>.1</w:t>
      </w:r>
      <w:r w:rsidR="00160E6F" w:rsidRPr="00220878">
        <w:rPr>
          <w:color w:val="auto"/>
          <w:sz w:val="28"/>
          <w:szCs w:val="28"/>
        </w:rPr>
        <w:t>0</w:t>
      </w:r>
      <w:r w:rsidRPr="00220878">
        <w:rPr>
          <w:color w:val="auto"/>
          <w:sz w:val="28"/>
          <w:szCs w:val="28"/>
        </w:rPr>
        <w:t>.20</w:t>
      </w:r>
      <w:r w:rsidR="00160E6F" w:rsidRPr="00220878">
        <w:rPr>
          <w:color w:val="auto"/>
          <w:sz w:val="28"/>
          <w:szCs w:val="28"/>
        </w:rPr>
        <w:t>20</w:t>
      </w:r>
      <w:proofErr w:type="gramEnd"/>
      <w:r w:rsidRPr="00220878">
        <w:rPr>
          <w:color w:val="auto"/>
          <w:sz w:val="28"/>
          <w:szCs w:val="28"/>
        </w:rPr>
        <w:t xml:space="preserve"> № </w:t>
      </w:r>
      <w:r w:rsidR="00160E6F" w:rsidRPr="00220878">
        <w:rPr>
          <w:color w:val="auto"/>
          <w:sz w:val="28"/>
          <w:szCs w:val="28"/>
        </w:rPr>
        <w:t>198</w:t>
      </w:r>
      <w:r w:rsidRPr="00220878">
        <w:rPr>
          <w:color w:val="auto"/>
          <w:sz w:val="28"/>
          <w:szCs w:val="28"/>
        </w:rPr>
        <w:t xml:space="preserve"> «О прогнозе социально-экономического развития</w:t>
      </w:r>
      <w:r w:rsidR="00C35C1E" w:rsidRPr="00220878">
        <w:rPr>
          <w:color w:val="auto"/>
          <w:sz w:val="28"/>
          <w:szCs w:val="28"/>
        </w:rPr>
        <w:t xml:space="preserve"> Западнодвинского района</w:t>
      </w:r>
      <w:r w:rsidRPr="00220878">
        <w:rPr>
          <w:color w:val="auto"/>
          <w:sz w:val="28"/>
          <w:szCs w:val="28"/>
        </w:rPr>
        <w:t xml:space="preserve"> Тверской области на 20</w:t>
      </w:r>
      <w:r w:rsidR="00FA7BA0" w:rsidRPr="00220878">
        <w:rPr>
          <w:color w:val="auto"/>
          <w:sz w:val="28"/>
          <w:szCs w:val="28"/>
        </w:rPr>
        <w:t>2</w:t>
      </w:r>
      <w:r w:rsidR="00541F6C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 и на период </w:t>
      </w:r>
      <w:r w:rsidR="00C35C1E" w:rsidRPr="00220878">
        <w:rPr>
          <w:color w:val="auto"/>
          <w:sz w:val="28"/>
          <w:szCs w:val="28"/>
        </w:rPr>
        <w:t>до 202</w:t>
      </w:r>
      <w:r w:rsidR="00541F6C" w:rsidRPr="00220878">
        <w:rPr>
          <w:color w:val="auto"/>
          <w:sz w:val="28"/>
          <w:szCs w:val="28"/>
        </w:rPr>
        <w:t>3</w:t>
      </w:r>
      <w:r w:rsidR="00C35C1E" w:rsidRPr="00220878">
        <w:rPr>
          <w:color w:val="auto"/>
          <w:sz w:val="28"/>
          <w:szCs w:val="28"/>
        </w:rPr>
        <w:t xml:space="preserve"> года</w:t>
      </w:r>
      <w:r w:rsidRPr="00220878">
        <w:rPr>
          <w:color w:val="auto"/>
          <w:sz w:val="28"/>
          <w:szCs w:val="28"/>
        </w:rPr>
        <w:t>».</w:t>
      </w:r>
    </w:p>
    <w:p w:rsidR="00C35C1E" w:rsidRPr="00220878" w:rsidRDefault="00C35C1E" w:rsidP="00021520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418"/>
        <w:gridCol w:w="1701"/>
        <w:gridCol w:w="1701"/>
        <w:gridCol w:w="2126"/>
      </w:tblGrid>
      <w:tr w:rsidR="00C35C1E" w:rsidRPr="00220878" w:rsidTr="00160E6F">
        <w:trPr>
          <w:trHeight w:val="688"/>
        </w:trPr>
        <w:tc>
          <w:tcPr>
            <w:tcW w:w="2410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418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C35C1E" w:rsidP="0054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FA7BA0"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41F6C"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 прогноз 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C35C1E" w:rsidP="0054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FA7BA0"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41F6C"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отчет</w:t>
            </w:r>
          </w:p>
        </w:tc>
        <w:tc>
          <w:tcPr>
            <w:tcW w:w="2126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Отклонение:</w:t>
            </w:r>
          </w:p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прогноз - к отчету</w:t>
            </w:r>
          </w:p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(%, процентных пунктов)</w:t>
            </w:r>
          </w:p>
        </w:tc>
      </w:tr>
      <w:tr w:rsidR="00C35C1E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Численность постоянного населения (среднегодовая), всего</w:t>
            </w:r>
          </w:p>
        </w:tc>
        <w:tc>
          <w:tcPr>
            <w:tcW w:w="1418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тыс. </w:t>
            </w:r>
          </w:p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E3013F" w:rsidP="007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12440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FF1C91" w:rsidP="00F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12344</w:t>
            </w:r>
          </w:p>
        </w:tc>
        <w:tc>
          <w:tcPr>
            <w:tcW w:w="2126" w:type="dxa"/>
            <w:shd w:val="solid" w:color="FFFFFF" w:fill="auto"/>
          </w:tcPr>
          <w:p w:rsidR="00C35C1E" w:rsidRPr="00220878" w:rsidRDefault="00495C94" w:rsidP="0082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3978" w:rsidRPr="00220878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391FF9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391FF9" w:rsidRPr="00220878" w:rsidRDefault="00391FF9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418" w:type="dxa"/>
            <w:shd w:val="solid" w:color="FFFFFF" w:fill="auto"/>
          </w:tcPr>
          <w:p w:rsidR="00391FF9" w:rsidRPr="00220878" w:rsidRDefault="00391FF9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число родившихся на 1000 человек населения</w:t>
            </w:r>
          </w:p>
        </w:tc>
        <w:tc>
          <w:tcPr>
            <w:tcW w:w="1701" w:type="dxa"/>
            <w:shd w:val="solid" w:color="FFFFFF" w:fill="auto"/>
          </w:tcPr>
          <w:p w:rsidR="00391FF9" w:rsidRPr="00220878" w:rsidRDefault="00E3013F" w:rsidP="003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01" w:type="dxa"/>
            <w:shd w:val="solid" w:color="FFFFFF" w:fill="auto"/>
          </w:tcPr>
          <w:p w:rsidR="00391FF9" w:rsidRPr="00220878" w:rsidRDefault="00FF1C91" w:rsidP="003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126" w:type="dxa"/>
            <w:shd w:val="solid" w:color="FFFFFF" w:fill="auto"/>
          </w:tcPr>
          <w:p w:rsidR="00391FF9" w:rsidRPr="00220878" w:rsidRDefault="00823978" w:rsidP="0082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391FF9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391FF9" w:rsidRPr="00220878" w:rsidRDefault="00391FF9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418" w:type="dxa"/>
            <w:shd w:val="solid" w:color="FFFFFF" w:fill="auto"/>
          </w:tcPr>
          <w:p w:rsidR="00391FF9" w:rsidRPr="00220878" w:rsidRDefault="00391FF9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701" w:type="dxa"/>
            <w:shd w:val="solid" w:color="FFFFFF" w:fill="auto"/>
          </w:tcPr>
          <w:p w:rsidR="00391FF9" w:rsidRPr="00220878" w:rsidRDefault="00E3013F" w:rsidP="003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  <w:shd w:val="solid" w:color="FFFFFF" w:fill="auto"/>
          </w:tcPr>
          <w:p w:rsidR="00391FF9" w:rsidRPr="00220878" w:rsidRDefault="00FF1C91" w:rsidP="00F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2126" w:type="dxa"/>
            <w:shd w:val="solid" w:color="FFFFFF" w:fill="auto"/>
          </w:tcPr>
          <w:p w:rsidR="00391FF9" w:rsidRPr="00220878" w:rsidRDefault="00823978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</w:tr>
      <w:tr w:rsidR="00391FF9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391FF9" w:rsidRPr="00220878" w:rsidRDefault="00391FF9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относящимися к промышленным видам деятельности (ВС</w:t>
            </w:r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418" w:type="dxa"/>
            <w:shd w:val="solid" w:color="FFFFFF" w:fill="auto"/>
          </w:tcPr>
          <w:p w:rsidR="00391FF9" w:rsidRPr="00220878" w:rsidRDefault="00391FF9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F9" w:rsidRPr="00220878" w:rsidRDefault="00391FF9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701" w:type="dxa"/>
            <w:shd w:val="solid" w:color="FFFFFF" w:fill="auto"/>
          </w:tcPr>
          <w:p w:rsidR="00391FF9" w:rsidRPr="00220878" w:rsidRDefault="00E3013F" w:rsidP="007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1292,5</w:t>
            </w:r>
          </w:p>
        </w:tc>
        <w:tc>
          <w:tcPr>
            <w:tcW w:w="1701" w:type="dxa"/>
            <w:shd w:val="solid" w:color="FFFFFF" w:fill="auto"/>
          </w:tcPr>
          <w:p w:rsidR="00391FF9" w:rsidRPr="00220878" w:rsidRDefault="00FF1C91" w:rsidP="009E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  <w:tc>
          <w:tcPr>
            <w:tcW w:w="2126" w:type="dxa"/>
            <w:shd w:val="solid" w:color="FFFFFF" w:fill="auto"/>
          </w:tcPr>
          <w:p w:rsidR="00391FF9" w:rsidRPr="00220878" w:rsidRDefault="00361A09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</w:tr>
      <w:tr w:rsidR="00C35C1E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Индекс промышленного производства</w:t>
            </w:r>
          </w:p>
        </w:tc>
        <w:tc>
          <w:tcPr>
            <w:tcW w:w="1418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предыдущему году в сопоставимых ценах 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E3013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FF1C91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361A09" w:rsidRPr="002208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solid" w:color="FFFFFF" w:fill="auto"/>
          </w:tcPr>
          <w:p w:rsidR="00C35C1E" w:rsidRPr="00220878" w:rsidRDefault="00495C94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61A09" w:rsidRPr="0022087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9E14EF" w:rsidRPr="00220878" w:rsidTr="00BE52D2">
        <w:trPr>
          <w:trHeight w:val="718"/>
        </w:trPr>
        <w:tc>
          <w:tcPr>
            <w:tcW w:w="2410" w:type="dxa"/>
            <w:shd w:val="solid" w:color="FFFFFF" w:fill="auto"/>
          </w:tcPr>
          <w:p w:rsidR="009E14EF" w:rsidRPr="00220878" w:rsidRDefault="009E14EF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сельского хозяйства</w:t>
            </w:r>
          </w:p>
        </w:tc>
        <w:tc>
          <w:tcPr>
            <w:tcW w:w="1418" w:type="dxa"/>
            <w:shd w:val="solid" w:color="FFFFFF" w:fill="auto"/>
          </w:tcPr>
          <w:p w:rsidR="009E14EF" w:rsidRPr="00220878" w:rsidRDefault="009E14EF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701" w:type="dxa"/>
            <w:shd w:val="solid" w:color="FFFFFF" w:fill="auto"/>
          </w:tcPr>
          <w:p w:rsidR="009E14EF" w:rsidRPr="00220878" w:rsidRDefault="00E3013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1701" w:type="dxa"/>
            <w:shd w:val="clear" w:color="auto" w:fill="auto"/>
          </w:tcPr>
          <w:p w:rsidR="009E14EF" w:rsidRPr="00220878" w:rsidRDefault="00BE52D2" w:rsidP="00F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227,4</w:t>
            </w:r>
          </w:p>
        </w:tc>
        <w:tc>
          <w:tcPr>
            <w:tcW w:w="2126" w:type="dxa"/>
            <w:shd w:val="clear" w:color="auto" w:fill="auto"/>
          </w:tcPr>
          <w:p w:rsidR="009E14EF" w:rsidRPr="00220878" w:rsidRDefault="00BE52D2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C35C1E" w:rsidRPr="00220878" w:rsidTr="00BE52D2">
        <w:trPr>
          <w:trHeight w:val="718"/>
        </w:trPr>
        <w:tc>
          <w:tcPr>
            <w:tcW w:w="2410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shd w:val="solid" w:color="FFFFFF" w:fill="auto"/>
          </w:tcPr>
          <w:p w:rsidR="00C35C1E" w:rsidRPr="00220878" w:rsidRDefault="00C35C1E" w:rsidP="00FC7F40">
            <w:pPr>
              <w:jc w:val="center"/>
              <w:rPr>
                <w:sz w:val="28"/>
                <w:szCs w:val="28"/>
              </w:rPr>
            </w:pP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предыдущему году в сопоставимых ценах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E3013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701" w:type="dxa"/>
            <w:shd w:val="clear" w:color="auto" w:fill="auto"/>
          </w:tcPr>
          <w:p w:rsidR="00C35C1E" w:rsidRPr="00220878" w:rsidRDefault="00BE52D2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126" w:type="dxa"/>
            <w:shd w:val="clear" w:color="auto" w:fill="auto"/>
          </w:tcPr>
          <w:p w:rsidR="00C35C1E" w:rsidRPr="00220878" w:rsidRDefault="00BE52D2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-8,4пп</w:t>
            </w:r>
          </w:p>
        </w:tc>
      </w:tr>
      <w:tr w:rsidR="009E14EF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9E14EF" w:rsidRPr="00220878" w:rsidRDefault="009E14EF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Инвестиции в основной капитал</w:t>
            </w:r>
          </w:p>
        </w:tc>
        <w:tc>
          <w:tcPr>
            <w:tcW w:w="1418" w:type="dxa"/>
            <w:shd w:val="solid" w:color="FFFFFF" w:fill="auto"/>
          </w:tcPr>
          <w:p w:rsidR="009E14EF" w:rsidRPr="00220878" w:rsidRDefault="009E14EF" w:rsidP="00FC7F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701" w:type="dxa"/>
            <w:shd w:val="solid" w:color="FFFFFF" w:fill="auto"/>
          </w:tcPr>
          <w:p w:rsidR="009E14EF" w:rsidRPr="00220878" w:rsidRDefault="00E3013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68,319</w:t>
            </w:r>
          </w:p>
        </w:tc>
        <w:tc>
          <w:tcPr>
            <w:tcW w:w="1701" w:type="dxa"/>
            <w:shd w:val="solid" w:color="FFFFFF" w:fill="auto"/>
          </w:tcPr>
          <w:p w:rsidR="009E14EF" w:rsidRPr="00220878" w:rsidRDefault="00FF1C91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47,123</w:t>
            </w:r>
          </w:p>
        </w:tc>
        <w:tc>
          <w:tcPr>
            <w:tcW w:w="2126" w:type="dxa"/>
            <w:shd w:val="solid" w:color="FFFFFF" w:fill="auto"/>
          </w:tcPr>
          <w:p w:rsidR="009E14EF" w:rsidRPr="00220878" w:rsidRDefault="00495C94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A09" w:rsidRPr="00220878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C35C1E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shd w:val="solid" w:color="FFFFFF" w:fill="auto"/>
          </w:tcPr>
          <w:p w:rsidR="00C35C1E" w:rsidRPr="00220878" w:rsidRDefault="00C35C1E" w:rsidP="00FC7F40">
            <w:pPr>
              <w:jc w:val="center"/>
              <w:rPr>
                <w:sz w:val="28"/>
                <w:szCs w:val="28"/>
              </w:rPr>
            </w:pP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предыдущему году в сопоставимых ценах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E3013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FF1C91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2126" w:type="dxa"/>
            <w:shd w:val="solid" w:color="FFFFFF" w:fill="auto"/>
          </w:tcPr>
          <w:p w:rsidR="00C35C1E" w:rsidRPr="00220878" w:rsidRDefault="00495C94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-91,4</w:t>
            </w:r>
            <w:r w:rsidR="00361A09" w:rsidRPr="0022087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C35C1E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 в действие жилых домов</w:t>
            </w:r>
          </w:p>
        </w:tc>
        <w:tc>
          <w:tcPr>
            <w:tcW w:w="1418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тыс.кв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shd w:val="solid" w:color="FFFFFF" w:fill="auto"/>
          </w:tcPr>
          <w:p w:rsidR="00C35C1E" w:rsidRPr="00220878" w:rsidRDefault="00E3013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2,160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0A4EB1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3,351</w:t>
            </w:r>
          </w:p>
        </w:tc>
        <w:tc>
          <w:tcPr>
            <w:tcW w:w="2126" w:type="dxa"/>
            <w:shd w:val="solid" w:color="FFFFFF" w:fill="auto"/>
          </w:tcPr>
          <w:p w:rsidR="00C35C1E" w:rsidRPr="00220878" w:rsidRDefault="003D4053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55,1%</w:t>
            </w:r>
          </w:p>
        </w:tc>
      </w:tr>
      <w:tr w:rsidR="00C35C1E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Индекс потребительских цен за период с начала года</w:t>
            </w:r>
          </w:p>
        </w:tc>
        <w:tc>
          <w:tcPr>
            <w:tcW w:w="1418" w:type="dxa"/>
            <w:shd w:val="solid" w:color="FFFFFF" w:fill="auto"/>
          </w:tcPr>
          <w:p w:rsidR="00C35C1E" w:rsidRPr="00220878" w:rsidRDefault="00C35C1E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соответствующему предыдущему году 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DA08C1" w:rsidP="0047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701" w:type="dxa"/>
            <w:shd w:val="solid" w:color="FFFFFF" w:fill="auto"/>
          </w:tcPr>
          <w:p w:rsidR="00C35C1E" w:rsidRPr="00220878" w:rsidRDefault="00DA08C1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2126" w:type="dxa"/>
            <w:shd w:val="solid" w:color="FFFFFF" w:fill="auto"/>
          </w:tcPr>
          <w:p w:rsidR="00C35C1E" w:rsidRPr="00220878" w:rsidRDefault="00DA08C1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5,1пп</w:t>
            </w:r>
          </w:p>
        </w:tc>
      </w:tr>
      <w:tr w:rsidR="0020457B" w:rsidRPr="00220878" w:rsidTr="00160E6F">
        <w:trPr>
          <w:trHeight w:val="718"/>
        </w:trPr>
        <w:tc>
          <w:tcPr>
            <w:tcW w:w="2410" w:type="dxa"/>
            <w:vMerge w:val="restart"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Оборот розничной торговли</w:t>
            </w:r>
          </w:p>
        </w:tc>
        <w:tc>
          <w:tcPr>
            <w:tcW w:w="1418" w:type="dxa"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701" w:type="dxa"/>
            <w:shd w:val="solid" w:color="FFFFFF" w:fill="auto"/>
          </w:tcPr>
          <w:p w:rsidR="0020457B" w:rsidRPr="00220878" w:rsidRDefault="00E3013F" w:rsidP="007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673,2</w:t>
            </w:r>
          </w:p>
        </w:tc>
        <w:tc>
          <w:tcPr>
            <w:tcW w:w="1701" w:type="dxa"/>
            <w:shd w:val="solid" w:color="FFFFFF" w:fill="auto"/>
          </w:tcPr>
          <w:p w:rsidR="0020457B" w:rsidRPr="00220878" w:rsidRDefault="000A4EB1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4053" w:rsidRPr="00220878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126" w:type="dxa"/>
            <w:shd w:val="solid" w:color="FFFFFF" w:fill="auto"/>
          </w:tcPr>
          <w:p w:rsidR="0020457B" w:rsidRPr="00220878" w:rsidRDefault="003D4053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20,4%</w:t>
            </w:r>
          </w:p>
        </w:tc>
      </w:tr>
      <w:tr w:rsidR="0020457B" w:rsidRPr="00220878" w:rsidTr="00160E6F">
        <w:trPr>
          <w:trHeight w:val="718"/>
        </w:trPr>
        <w:tc>
          <w:tcPr>
            <w:tcW w:w="2410" w:type="dxa"/>
            <w:vMerge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предыдущему году в сопоставимых ценах</w:t>
            </w:r>
          </w:p>
        </w:tc>
        <w:tc>
          <w:tcPr>
            <w:tcW w:w="1701" w:type="dxa"/>
            <w:shd w:val="solid" w:color="FFFFFF" w:fill="auto"/>
          </w:tcPr>
          <w:p w:rsidR="0020457B" w:rsidRPr="00220878" w:rsidRDefault="00E3013F" w:rsidP="007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701" w:type="dxa"/>
            <w:shd w:val="clear" w:color="auto" w:fill="auto"/>
          </w:tcPr>
          <w:p w:rsidR="0020457B" w:rsidRPr="00220878" w:rsidRDefault="003D4053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2126" w:type="dxa"/>
            <w:shd w:val="clear" w:color="auto" w:fill="auto"/>
          </w:tcPr>
          <w:p w:rsidR="0020457B" w:rsidRPr="00220878" w:rsidRDefault="003D4053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-0,1пп</w:t>
            </w:r>
          </w:p>
        </w:tc>
      </w:tr>
      <w:tr w:rsidR="0020457B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Число малых и средних предприятий, включая</w:t>
            </w:r>
          </w:p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(на конец года)</w:t>
            </w:r>
          </w:p>
        </w:tc>
        <w:tc>
          <w:tcPr>
            <w:tcW w:w="1418" w:type="dxa"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701" w:type="dxa"/>
            <w:shd w:val="solid" w:color="FFFFFF" w:fill="auto"/>
          </w:tcPr>
          <w:p w:rsidR="0020457B" w:rsidRPr="00220878" w:rsidRDefault="00E3013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A09" w:rsidRPr="00220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:rsidR="0020457B" w:rsidRPr="00220878" w:rsidRDefault="00FF1C91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  <w:shd w:val="solid" w:color="FFFFFF" w:fill="auto"/>
          </w:tcPr>
          <w:p w:rsidR="0020457B" w:rsidRPr="00220878" w:rsidRDefault="00495C94" w:rsidP="003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A09" w:rsidRPr="0022087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3D4053" w:rsidRPr="002208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457B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совместителей)</w:t>
            </w:r>
            <w:r w:rsidR="00AE3F0A"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</w:t>
            </w:r>
            <w:r w:rsidR="00AE3F0A" w:rsidRPr="0022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1418" w:type="dxa"/>
            <w:shd w:val="solid" w:color="FFFFFF" w:fill="auto"/>
          </w:tcPr>
          <w:p w:rsidR="0020457B" w:rsidRPr="00220878" w:rsidRDefault="0020457B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человек</w:t>
            </w:r>
          </w:p>
        </w:tc>
        <w:tc>
          <w:tcPr>
            <w:tcW w:w="1701" w:type="dxa"/>
            <w:shd w:val="clear" w:color="auto" w:fill="auto"/>
          </w:tcPr>
          <w:p w:rsidR="0020457B" w:rsidRPr="00220878" w:rsidRDefault="00361A09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1,270</w:t>
            </w:r>
          </w:p>
        </w:tc>
        <w:tc>
          <w:tcPr>
            <w:tcW w:w="1701" w:type="dxa"/>
            <w:shd w:val="clear" w:color="auto" w:fill="auto"/>
          </w:tcPr>
          <w:p w:rsidR="0020457B" w:rsidRPr="00220878" w:rsidRDefault="00967797" w:rsidP="00F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1,253</w:t>
            </w:r>
          </w:p>
        </w:tc>
        <w:tc>
          <w:tcPr>
            <w:tcW w:w="2126" w:type="dxa"/>
            <w:shd w:val="clear" w:color="auto" w:fill="auto"/>
          </w:tcPr>
          <w:p w:rsidR="0020457B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-1,3%</w:t>
            </w:r>
          </w:p>
        </w:tc>
      </w:tr>
      <w:tr w:rsidR="00361A09" w:rsidRPr="00220878" w:rsidTr="00160E6F">
        <w:trPr>
          <w:trHeight w:val="718"/>
        </w:trPr>
        <w:tc>
          <w:tcPr>
            <w:tcW w:w="2410" w:type="dxa"/>
            <w:shd w:val="solid" w:color="FFFFFF" w:fill="auto"/>
            <w:vAlign w:val="center"/>
          </w:tcPr>
          <w:p w:rsidR="00361A09" w:rsidRPr="00220878" w:rsidRDefault="00361A09" w:rsidP="0036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418" w:type="dxa"/>
            <w:shd w:val="solid" w:color="FFFFFF" w:fill="auto"/>
            <w:vAlign w:val="center"/>
          </w:tcPr>
          <w:p w:rsidR="00361A09" w:rsidRPr="00220878" w:rsidRDefault="00361A09" w:rsidP="0036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  <w:tc>
          <w:tcPr>
            <w:tcW w:w="1701" w:type="dxa"/>
            <w:shd w:val="clear" w:color="auto" w:fill="auto"/>
          </w:tcPr>
          <w:p w:rsidR="00361A09" w:rsidRPr="00220878" w:rsidRDefault="00361A09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1701" w:type="dxa"/>
            <w:shd w:val="clear" w:color="auto" w:fill="auto"/>
          </w:tcPr>
          <w:p w:rsidR="00361A09" w:rsidRPr="00220878" w:rsidRDefault="00361A09" w:rsidP="00F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1202,2</w:t>
            </w:r>
          </w:p>
        </w:tc>
        <w:tc>
          <w:tcPr>
            <w:tcW w:w="2126" w:type="dxa"/>
            <w:shd w:val="clear" w:color="auto" w:fill="auto"/>
          </w:tcPr>
          <w:p w:rsidR="00361A09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361A09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361A09" w:rsidRPr="00220878" w:rsidRDefault="00361A09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Реальные располагаемые денежные доходы населения</w:t>
            </w:r>
          </w:p>
        </w:tc>
        <w:tc>
          <w:tcPr>
            <w:tcW w:w="1418" w:type="dxa"/>
            <w:shd w:val="solid" w:color="FFFFFF" w:fill="auto"/>
          </w:tcPr>
          <w:p w:rsidR="00361A09" w:rsidRPr="00220878" w:rsidRDefault="00361A09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361A09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701" w:type="dxa"/>
            <w:shd w:val="clear" w:color="auto" w:fill="auto"/>
          </w:tcPr>
          <w:p w:rsidR="00361A09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2126" w:type="dxa"/>
            <w:shd w:val="clear" w:color="auto" w:fill="auto"/>
          </w:tcPr>
          <w:p w:rsidR="00361A09" w:rsidRPr="00220878" w:rsidRDefault="00160E6F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0,5пп</w:t>
            </w:r>
          </w:p>
        </w:tc>
      </w:tr>
      <w:tr w:rsidR="00361A09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361A09" w:rsidRPr="00220878" w:rsidRDefault="00361A09" w:rsidP="00F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</w:t>
            </w:r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</w:t>
            </w:r>
          </w:p>
        </w:tc>
        <w:tc>
          <w:tcPr>
            <w:tcW w:w="1418" w:type="dxa"/>
            <w:shd w:val="solid" w:color="FFFFFF" w:fill="auto"/>
          </w:tcPr>
          <w:p w:rsidR="00361A09" w:rsidRPr="00220878" w:rsidRDefault="00361A09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5,310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F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5,203</w:t>
            </w:r>
          </w:p>
        </w:tc>
        <w:tc>
          <w:tcPr>
            <w:tcW w:w="2126" w:type="dxa"/>
            <w:shd w:val="solid" w:color="FFFFFF" w:fill="auto"/>
          </w:tcPr>
          <w:p w:rsidR="00361A09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</w:tr>
      <w:tr w:rsidR="00361A09" w:rsidRPr="00220878" w:rsidTr="00160E6F">
        <w:trPr>
          <w:trHeight w:val="718"/>
        </w:trPr>
        <w:tc>
          <w:tcPr>
            <w:tcW w:w="2410" w:type="dxa"/>
            <w:vMerge w:val="restart"/>
            <w:shd w:val="solid" w:color="FFFFFF" w:fill="auto"/>
          </w:tcPr>
          <w:p w:rsidR="00361A09" w:rsidRPr="00220878" w:rsidRDefault="00361A09" w:rsidP="00D8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418" w:type="dxa"/>
            <w:shd w:val="solid" w:color="FFFFFF" w:fill="auto"/>
          </w:tcPr>
          <w:p w:rsidR="00361A09" w:rsidRPr="00220878" w:rsidRDefault="00361A09" w:rsidP="00FC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1E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BD6" w:rsidRPr="00220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F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24552</w:t>
            </w:r>
          </w:p>
        </w:tc>
        <w:tc>
          <w:tcPr>
            <w:tcW w:w="2126" w:type="dxa"/>
            <w:shd w:val="solid" w:color="FFFFFF" w:fill="auto"/>
          </w:tcPr>
          <w:p w:rsidR="00361A09" w:rsidRPr="00220878" w:rsidRDefault="001E2BD6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361A09" w:rsidRPr="002208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1A09" w:rsidRPr="00220878" w:rsidTr="00160E6F">
        <w:trPr>
          <w:trHeight w:val="718"/>
        </w:trPr>
        <w:tc>
          <w:tcPr>
            <w:tcW w:w="2410" w:type="dxa"/>
            <w:vMerge/>
            <w:shd w:val="solid" w:color="FFFFFF" w:fill="auto"/>
          </w:tcPr>
          <w:p w:rsidR="00361A09" w:rsidRPr="00220878" w:rsidRDefault="00361A09" w:rsidP="0078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361A09" w:rsidRPr="00220878" w:rsidRDefault="00361A09" w:rsidP="0078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7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103,37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2126" w:type="dxa"/>
            <w:shd w:val="solid" w:color="FFFFFF" w:fill="auto"/>
          </w:tcPr>
          <w:p w:rsidR="00361A09" w:rsidRPr="00220878" w:rsidRDefault="00361A09" w:rsidP="00AE3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3,03пп</w:t>
            </w:r>
          </w:p>
        </w:tc>
      </w:tr>
      <w:tr w:rsidR="00361A09" w:rsidRPr="00220878" w:rsidTr="00160E6F">
        <w:trPr>
          <w:trHeight w:val="718"/>
        </w:trPr>
        <w:tc>
          <w:tcPr>
            <w:tcW w:w="2410" w:type="dxa"/>
            <w:shd w:val="solid" w:color="FFFFFF" w:fill="auto"/>
          </w:tcPr>
          <w:p w:rsidR="00361A09" w:rsidRPr="00220878" w:rsidRDefault="00361A09" w:rsidP="0078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shd w:val="solid" w:color="FFFFFF" w:fill="auto"/>
          </w:tcPr>
          <w:p w:rsidR="00361A09" w:rsidRPr="00220878" w:rsidRDefault="00361A09" w:rsidP="0078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208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78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970,2</w:t>
            </w:r>
          </w:p>
        </w:tc>
        <w:tc>
          <w:tcPr>
            <w:tcW w:w="1701" w:type="dxa"/>
            <w:shd w:val="solid" w:color="FFFFFF" w:fill="auto"/>
          </w:tcPr>
          <w:p w:rsidR="00361A09" w:rsidRPr="00220878" w:rsidRDefault="00361A09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1064,8</w:t>
            </w:r>
          </w:p>
        </w:tc>
        <w:tc>
          <w:tcPr>
            <w:tcW w:w="2126" w:type="dxa"/>
            <w:shd w:val="solid" w:color="FFFFFF" w:fill="auto"/>
          </w:tcPr>
          <w:p w:rsidR="00361A09" w:rsidRPr="00220878" w:rsidRDefault="00361A09" w:rsidP="00F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</w:tr>
      <w:tr w:rsidR="00160E6F" w:rsidRPr="00220878" w:rsidTr="00D534EF">
        <w:trPr>
          <w:trHeight w:val="718"/>
        </w:trPr>
        <w:tc>
          <w:tcPr>
            <w:tcW w:w="2410" w:type="dxa"/>
            <w:shd w:val="solid" w:color="FFFFFF" w:fill="auto"/>
            <w:vAlign w:val="center"/>
          </w:tcPr>
          <w:p w:rsidR="00160E6F" w:rsidRPr="00220878" w:rsidRDefault="00160E6F" w:rsidP="0016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160E6F" w:rsidRPr="00220878" w:rsidRDefault="00160E6F" w:rsidP="00B7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proofErr w:type="gramStart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экономи-чески</w:t>
            </w:r>
            <w:proofErr w:type="spellEnd"/>
            <w:proofErr w:type="gramEnd"/>
            <w:r w:rsidRPr="00220878">
              <w:rPr>
                <w:rFonts w:ascii="Times New Roman" w:hAnsi="Times New Roman" w:cs="Times New Roman"/>
                <w:sz w:val="28"/>
                <w:szCs w:val="28"/>
              </w:rPr>
              <w:t xml:space="preserve"> активному населению</w:t>
            </w:r>
          </w:p>
        </w:tc>
        <w:tc>
          <w:tcPr>
            <w:tcW w:w="1701" w:type="dxa"/>
            <w:shd w:val="solid" w:color="FFFFFF" w:fill="auto"/>
          </w:tcPr>
          <w:p w:rsidR="00160E6F" w:rsidRPr="00220878" w:rsidRDefault="00160E6F" w:rsidP="0078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solid" w:color="FFFFFF" w:fill="auto"/>
          </w:tcPr>
          <w:p w:rsidR="00160E6F" w:rsidRPr="00220878" w:rsidRDefault="00160E6F" w:rsidP="00F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126" w:type="dxa"/>
            <w:shd w:val="solid" w:color="FFFFFF" w:fill="auto"/>
          </w:tcPr>
          <w:p w:rsidR="00160E6F" w:rsidRPr="00220878" w:rsidRDefault="00160E6F" w:rsidP="00F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78">
              <w:rPr>
                <w:rFonts w:ascii="Times New Roman" w:hAnsi="Times New Roman" w:cs="Times New Roman"/>
                <w:sz w:val="28"/>
                <w:szCs w:val="28"/>
              </w:rPr>
              <w:t>-0,3пп</w:t>
            </w:r>
          </w:p>
        </w:tc>
      </w:tr>
    </w:tbl>
    <w:p w:rsidR="008D131B" w:rsidRPr="00220878" w:rsidRDefault="00220878" w:rsidP="0022087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131B" w:rsidRPr="00220878">
        <w:rPr>
          <w:color w:val="auto"/>
          <w:sz w:val="28"/>
          <w:szCs w:val="28"/>
        </w:rPr>
        <w:t xml:space="preserve">Пояснения причин имеющихся отклонений прогнозных показателей от фактических данных и оценки приводятся ниже. </w:t>
      </w:r>
    </w:p>
    <w:p w:rsidR="00D26CD0" w:rsidRPr="00220878" w:rsidRDefault="008D131B" w:rsidP="00021520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20878">
        <w:rPr>
          <w:color w:val="auto"/>
          <w:sz w:val="28"/>
          <w:szCs w:val="28"/>
        </w:rPr>
        <w:t>По показателю «Общий коэффициент рождаемости» отклонение фактического значения за 20</w:t>
      </w:r>
      <w:r w:rsidR="00F11B6E" w:rsidRPr="00220878">
        <w:rPr>
          <w:color w:val="auto"/>
          <w:sz w:val="28"/>
          <w:szCs w:val="28"/>
        </w:rPr>
        <w:t>2</w:t>
      </w:r>
      <w:r w:rsidR="00823978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 от прогнозных величин составило </w:t>
      </w:r>
      <w:r w:rsidR="00823978" w:rsidRPr="00220878">
        <w:rPr>
          <w:color w:val="auto"/>
          <w:sz w:val="28"/>
          <w:szCs w:val="28"/>
        </w:rPr>
        <w:t>4,5</w:t>
      </w:r>
      <w:r w:rsidRPr="00220878">
        <w:rPr>
          <w:color w:val="auto"/>
          <w:sz w:val="28"/>
          <w:szCs w:val="28"/>
        </w:rPr>
        <w:t xml:space="preserve"> %. </w:t>
      </w:r>
      <w:r w:rsidR="00D26CD0" w:rsidRPr="00220878">
        <w:rPr>
          <w:color w:val="auto"/>
          <w:sz w:val="28"/>
          <w:szCs w:val="28"/>
        </w:rPr>
        <w:t xml:space="preserve"> По официальным данным </w:t>
      </w:r>
      <w:proofErr w:type="spellStart"/>
      <w:r w:rsidR="00D26CD0" w:rsidRPr="00220878">
        <w:rPr>
          <w:color w:val="auto"/>
          <w:sz w:val="28"/>
          <w:szCs w:val="28"/>
        </w:rPr>
        <w:t>Тверьстата</w:t>
      </w:r>
      <w:proofErr w:type="spellEnd"/>
      <w:r w:rsidR="00D26CD0" w:rsidRPr="00220878">
        <w:rPr>
          <w:color w:val="auto"/>
          <w:sz w:val="28"/>
          <w:szCs w:val="28"/>
        </w:rPr>
        <w:t>, в 2021 году родилось 85 детей и уменьшилась по сравнению с 2020 годом на  3,4%.</w:t>
      </w:r>
      <w:r w:rsidR="00D26CD0" w:rsidRPr="00220878">
        <w:rPr>
          <w:sz w:val="28"/>
          <w:szCs w:val="28"/>
        </w:rPr>
        <w:t xml:space="preserve"> Это объясняется снижением численности женщин репродуктивного возраста 20-29 лет, а также тенденцией откладывания рождения ребенка на более поздний период ввиду отрицательного воздействия информации на здоровье</w:t>
      </w:r>
      <w:proofErr w:type="gramEnd"/>
      <w:r w:rsidR="00D26CD0" w:rsidRPr="00220878">
        <w:rPr>
          <w:sz w:val="28"/>
          <w:szCs w:val="28"/>
        </w:rPr>
        <w:t xml:space="preserve"> населения (репродуктивных установок). </w:t>
      </w:r>
    </w:p>
    <w:p w:rsidR="00823978" w:rsidRPr="00220878" w:rsidRDefault="00823978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>По показателю «Общий коэффициент смертности» отклонение фактического значения за 2020 год от прогнозных величин составило 7,2%.</w:t>
      </w:r>
      <w:r w:rsidR="00D26CD0" w:rsidRPr="00220878">
        <w:rPr>
          <w:color w:val="auto"/>
          <w:sz w:val="28"/>
          <w:szCs w:val="28"/>
        </w:rPr>
        <w:t xml:space="preserve"> В 2021 году</w:t>
      </w:r>
      <w:r w:rsidR="00D3269D" w:rsidRPr="00220878">
        <w:rPr>
          <w:color w:val="auto"/>
          <w:sz w:val="28"/>
          <w:szCs w:val="28"/>
        </w:rPr>
        <w:t xml:space="preserve">  зарегистрировано 292 смерти, что на 1,4% больше, чем в 2020 году.</w:t>
      </w:r>
    </w:p>
    <w:p w:rsidR="00D26CD0" w:rsidRPr="00220878" w:rsidRDefault="00D26CD0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sz w:val="28"/>
          <w:szCs w:val="28"/>
        </w:rPr>
        <w:t xml:space="preserve">На значения вышеуказанного показателя повлиял рост смертей от болезней органов дыхания, в частности, от пневмоний всех форм на фоне распространения новой </w:t>
      </w:r>
      <w:proofErr w:type="spellStart"/>
      <w:r w:rsidRPr="00220878">
        <w:rPr>
          <w:sz w:val="28"/>
          <w:szCs w:val="28"/>
        </w:rPr>
        <w:t>коронавирусной</w:t>
      </w:r>
      <w:proofErr w:type="spellEnd"/>
      <w:r w:rsidRPr="00220878">
        <w:rPr>
          <w:sz w:val="28"/>
          <w:szCs w:val="28"/>
        </w:rPr>
        <w:t xml:space="preserve"> инфекц</w:t>
      </w:r>
      <w:proofErr w:type="gramStart"/>
      <w:r w:rsidRPr="00220878">
        <w:rPr>
          <w:sz w:val="28"/>
          <w:szCs w:val="28"/>
        </w:rPr>
        <w:t>ии и ее</w:t>
      </w:r>
      <w:proofErr w:type="gramEnd"/>
      <w:r w:rsidRPr="00220878">
        <w:rPr>
          <w:sz w:val="28"/>
          <w:szCs w:val="28"/>
        </w:rPr>
        <w:t xml:space="preserve"> последствий, а также от </w:t>
      </w:r>
      <w:r w:rsidRPr="00220878">
        <w:rPr>
          <w:sz w:val="28"/>
          <w:szCs w:val="28"/>
        </w:rPr>
        <w:lastRenderedPageBreak/>
        <w:t>ишемической болезни сердца.  Кроме того, оказало влияние поздняя обращаемость пациентов за медицинской помощью в учреждения здравоохранения</w:t>
      </w:r>
      <w:r w:rsidR="00D3269D" w:rsidRPr="00220878">
        <w:rPr>
          <w:sz w:val="28"/>
          <w:szCs w:val="28"/>
        </w:rPr>
        <w:t>, не прохождение медицинских осмотров, а также дефицит кадров медицинских работников в местной центральной районной больнице.</w:t>
      </w:r>
    </w:p>
    <w:p w:rsidR="004E137B" w:rsidRPr="00220878" w:rsidRDefault="008D131B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>По показателю «Объем отгруженных товаров собственного производства, выполненных работ и услуг собственными силами, относящимися к промышленным видам деятельности (BCDE)» отклонение фактического значения за 20</w:t>
      </w:r>
      <w:r w:rsidR="00F11B6E" w:rsidRPr="00220878">
        <w:rPr>
          <w:color w:val="auto"/>
          <w:sz w:val="28"/>
          <w:szCs w:val="28"/>
        </w:rPr>
        <w:t>2</w:t>
      </w:r>
      <w:r w:rsidR="004E137B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 от прогнозных величин составило</w:t>
      </w:r>
      <w:r w:rsidR="00F11B6E" w:rsidRPr="00220878">
        <w:rPr>
          <w:color w:val="auto"/>
          <w:sz w:val="28"/>
          <w:szCs w:val="28"/>
        </w:rPr>
        <w:t xml:space="preserve"> </w:t>
      </w:r>
      <w:r w:rsidRPr="00220878">
        <w:rPr>
          <w:color w:val="auto"/>
          <w:sz w:val="28"/>
          <w:szCs w:val="28"/>
        </w:rPr>
        <w:t>1</w:t>
      </w:r>
      <w:r w:rsidR="004E137B" w:rsidRPr="00220878">
        <w:rPr>
          <w:color w:val="auto"/>
          <w:sz w:val="28"/>
          <w:szCs w:val="28"/>
        </w:rPr>
        <w:t>0,6</w:t>
      </w:r>
      <w:r w:rsidRPr="00220878">
        <w:rPr>
          <w:color w:val="auto"/>
          <w:sz w:val="28"/>
          <w:szCs w:val="28"/>
        </w:rPr>
        <w:t xml:space="preserve"> %. </w:t>
      </w:r>
      <w:r w:rsidR="004E137B" w:rsidRPr="00220878">
        <w:rPr>
          <w:color w:val="auto"/>
          <w:sz w:val="28"/>
          <w:szCs w:val="28"/>
        </w:rPr>
        <w:t>Это обусловлено</w:t>
      </w:r>
      <w:r w:rsidR="00DA08C1" w:rsidRPr="00220878">
        <w:rPr>
          <w:color w:val="auto"/>
          <w:sz w:val="28"/>
          <w:szCs w:val="28"/>
        </w:rPr>
        <w:t xml:space="preserve"> увеличением</w:t>
      </w:r>
      <w:r w:rsidR="004E137B" w:rsidRPr="00220878">
        <w:rPr>
          <w:color w:val="auto"/>
          <w:sz w:val="28"/>
          <w:szCs w:val="28"/>
        </w:rPr>
        <w:t xml:space="preserve"> выпуск</w:t>
      </w:r>
      <w:r w:rsidR="00DA08C1" w:rsidRPr="00220878">
        <w:rPr>
          <w:color w:val="auto"/>
          <w:sz w:val="28"/>
          <w:szCs w:val="28"/>
        </w:rPr>
        <w:t>а</w:t>
      </w:r>
      <w:r w:rsidR="004E137B" w:rsidRPr="00220878">
        <w:rPr>
          <w:color w:val="auto"/>
          <w:sz w:val="28"/>
          <w:szCs w:val="28"/>
        </w:rPr>
        <w:t xml:space="preserve"> новых видов продукции</w:t>
      </w:r>
      <w:r w:rsidR="00DA08C1" w:rsidRPr="00220878">
        <w:rPr>
          <w:color w:val="auto"/>
          <w:sz w:val="28"/>
          <w:szCs w:val="28"/>
        </w:rPr>
        <w:t>,</w:t>
      </w:r>
      <w:r w:rsidR="004E137B" w:rsidRPr="00220878">
        <w:rPr>
          <w:color w:val="auto"/>
          <w:sz w:val="28"/>
          <w:szCs w:val="28"/>
        </w:rPr>
        <w:t xml:space="preserve"> в рамках  модернизации действующих производств. При прогнозировании на тот период  предприятия не планировали увеличение объемов производства.</w:t>
      </w:r>
    </w:p>
    <w:p w:rsidR="008D131B" w:rsidRPr="00220878" w:rsidRDefault="008D131B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>По показателю «Индекс производства продукции сельского хозяйства» отклонение отчетных данных 20</w:t>
      </w:r>
      <w:r w:rsidR="00F11B6E" w:rsidRPr="00220878">
        <w:rPr>
          <w:color w:val="auto"/>
          <w:sz w:val="28"/>
          <w:szCs w:val="28"/>
        </w:rPr>
        <w:t>2</w:t>
      </w:r>
      <w:r w:rsidR="00DE7ACD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года от прогнозных показателей составило</w:t>
      </w:r>
      <w:r w:rsidR="001832B9" w:rsidRPr="00220878">
        <w:rPr>
          <w:color w:val="FF0000"/>
          <w:sz w:val="28"/>
          <w:szCs w:val="28"/>
        </w:rPr>
        <w:t xml:space="preserve"> </w:t>
      </w:r>
      <w:r w:rsidR="001832B9" w:rsidRPr="00220878">
        <w:rPr>
          <w:color w:val="auto"/>
          <w:sz w:val="28"/>
          <w:szCs w:val="28"/>
        </w:rPr>
        <w:t>минус</w:t>
      </w:r>
      <w:r w:rsidRPr="00220878">
        <w:rPr>
          <w:color w:val="auto"/>
          <w:sz w:val="28"/>
          <w:szCs w:val="28"/>
        </w:rPr>
        <w:t xml:space="preserve"> </w:t>
      </w:r>
      <w:r w:rsidR="00BE52D2" w:rsidRPr="00220878">
        <w:rPr>
          <w:color w:val="auto"/>
          <w:sz w:val="28"/>
          <w:szCs w:val="28"/>
        </w:rPr>
        <w:t>8,4</w:t>
      </w:r>
      <w:r w:rsidRPr="00220878">
        <w:rPr>
          <w:color w:val="auto"/>
          <w:sz w:val="28"/>
          <w:szCs w:val="28"/>
        </w:rPr>
        <w:t xml:space="preserve"> п.п., что обусловлено </w:t>
      </w:r>
      <w:r w:rsidR="001832B9" w:rsidRPr="00220878">
        <w:rPr>
          <w:color w:val="auto"/>
          <w:sz w:val="28"/>
          <w:szCs w:val="28"/>
        </w:rPr>
        <w:t xml:space="preserve"> снижением производства молока и мяса в сельхозпредприятиях.</w:t>
      </w:r>
    </w:p>
    <w:p w:rsidR="001832B9" w:rsidRPr="00220878" w:rsidRDefault="001832B9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>По показателю «Инвестиции в основной капитал» в 20</w:t>
      </w:r>
      <w:r w:rsidR="00F11B6E" w:rsidRPr="00220878">
        <w:rPr>
          <w:color w:val="auto"/>
          <w:sz w:val="28"/>
          <w:szCs w:val="28"/>
        </w:rPr>
        <w:t>2</w:t>
      </w:r>
      <w:r w:rsidR="004E137B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году отклонение отчетных данных от прогнозных показателей составило минус </w:t>
      </w:r>
      <w:r w:rsidR="006B6E6D" w:rsidRPr="00220878">
        <w:rPr>
          <w:color w:val="auto"/>
          <w:sz w:val="28"/>
          <w:szCs w:val="28"/>
        </w:rPr>
        <w:t>31</w:t>
      </w:r>
      <w:r w:rsidRPr="00220878">
        <w:rPr>
          <w:color w:val="auto"/>
          <w:sz w:val="28"/>
          <w:szCs w:val="28"/>
        </w:rPr>
        <w:t xml:space="preserve"> %, при этом отклонения по индексу физического объема инвестиций в основной капитал составили минус </w:t>
      </w:r>
      <w:r w:rsidR="006B6E6D" w:rsidRPr="00220878">
        <w:rPr>
          <w:color w:val="auto"/>
          <w:sz w:val="28"/>
          <w:szCs w:val="28"/>
        </w:rPr>
        <w:t xml:space="preserve">91,4 </w:t>
      </w:r>
      <w:r w:rsidRPr="00220878">
        <w:rPr>
          <w:color w:val="auto"/>
          <w:sz w:val="28"/>
          <w:szCs w:val="28"/>
        </w:rPr>
        <w:t>п.п.  В 20</w:t>
      </w:r>
      <w:r w:rsidR="00F11B6E" w:rsidRPr="00220878">
        <w:rPr>
          <w:color w:val="auto"/>
          <w:sz w:val="28"/>
          <w:szCs w:val="28"/>
        </w:rPr>
        <w:t>2</w:t>
      </w:r>
      <w:r w:rsidR="006B6E6D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году </w:t>
      </w:r>
      <w:proofErr w:type="spellStart"/>
      <w:r w:rsidRPr="00220878">
        <w:rPr>
          <w:color w:val="auto"/>
          <w:sz w:val="28"/>
          <w:szCs w:val="28"/>
        </w:rPr>
        <w:t>недостижение</w:t>
      </w:r>
      <w:proofErr w:type="spellEnd"/>
      <w:r w:rsidRPr="00220878">
        <w:rPr>
          <w:color w:val="auto"/>
          <w:sz w:val="28"/>
          <w:szCs w:val="28"/>
        </w:rPr>
        <w:t xml:space="preserve"> прогнозных значений показателей связано </w:t>
      </w:r>
      <w:r w:rsidR="00DA08C1" w:rsidRPr="00220878">
        <w:rPr>
          <w:color w:val="auto"/>
          <w:sz w:val="28"/>
          <w:szCs w:val="28"/>
        </w:rPr>
        <w:t xml:space="preserve">с отсутствием инвестиционных вложений в ООО "ЛПХ Сияние", в связи со </w:t>
      </w:r>
      <w:r w:rsidR="00F11B6E" w:rsidRPr="00220878">
        <w:rPr>
          <w:color w:val="auto"/>
          <w:sz w:val="28"/>
          <w:szCs w:val="28"/>
        </w:rPr>
        <w:t xml:space="preserve">сложным финансовым </w:t>
      </w:r>
      <w:r w:rsidR="00DA08C1" w:rsidRPr="00220878">
        <w:rPr>
          <w:color w:val="auto"/>
          <w:sz w:val="28"/>
          <w:szCs w:val="28"/>
        </w:rPr>
        <w:t>положен</w:t>
      </w:r>
      <w:r w:rsidR="00F11B6E" w:rsidRPr="00220878">
        <w:rPr>
          <w:color w:val="auto"/>
          <w:sz w:val="28"/>
          <w:szCs w:val="28"/>
        </w:rPr>
        <w:t>ием</w:t>
      </w:r>
      <w:r w:rsidR="00E874E2" w:rsidRPr="00220878">
        <w:rPr>
          <w:color w:val="auto"/>
          <w:sz w:val="28"/>
          <w:szCs w:val="28"/>
        </w:rPr>
        <w:t>.</w:t>
      </w:r>
    </w:p>
    <w:p w:rsidR="001832B9" w:rsidRPr="00220878" w:rsidRDefault="001832B9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proofErr w:type="gramStart"/>
      <w:r w:rsidRPr="00220878">
        <w:rPr>
          <w:color w:val="auto"/>
          <w:sz w:val="28"/>
          <w:szCs w:val="28"/>
        </w:rPr>
        <w:t>По показателю «Ввод в действие жилых домов» отклонение отчетных данных за 20</w:t>
      </w:r>
      <w:r w:rsidR="00F11B6E" w:rsidRPr="00220878">
        <w:rPr>
          <w:color w:val="auto"/>
          <w:sz w:val="28"/>
          <w:szCs w:val="28"/>
        </w:rPr>
        <w:t>2</w:t>
      </w:r>
      <w:r w:rsidR="00DA08C1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 от прогнозных значений составило </w:t>
      </w:r>
      <w:r w:rsidR="00DA08C1" w:rsidRPr="00220878">
        <w:rPr>
          <w:color w:val="auto"/>
          <w:sz w:val="28"/>
          <w:szCs w:val="28"/>
        </w:rPr>
        <w:t>55,1</w:t>
      </w:r>
      <w:r w:rsidRPr="00220878">
        <w:rPr>
          <w:color w:val="auto"/>
          <w:sz w:val="28"/>
          <w:szCs w:val="28"/>
        </w:rPr>
        <w:t xml:space="preserve"> %. Данное отклонение связано с увеличением ввода жилья населением за счет собственных и заемных средств, а также с проведенной  работой  отдела  архитектуры</w:t>
      </w:r>
      <w:r w:rsidR="0004370A" w:rsidRPr="00220878">
        <w:rPr>
          <w:color w:val="auto"/>
          <w:sz w:val="28"/>
          <w:szCs w:val="28"/>
        </w:rPr>
        <w:t xml:space="preserve"> администрации </w:t>
      </w:r>
      <w:r w:rsidR="00DA08C1" w:rsidRPr="00220878">
        <w:rPr>
          <w:color w:val="auto"/>
          <w:sz w:val="28"/>
          <w:szCs w:val="28"/>
        </w:rPr>
        <w:t>муниципального округа</w:t>
      </w:r>
      <w:r w:rsidRPr="00220878">
        <w:rPr>
          <w:color w:val="auto"/>
          <w:sz w:val="28"/>
          <w:szCs w:val="28"/>
        </w:rPr>
        <w:t xml:space="preserve"> и </w:t>
      </w:r>
      <w:proofErr w:type="spellStart"/>
      <w:r w:rsidRPr="00220878">
        <w:rPr>
          <w:color w:val="auto"/>
          <w:sz w:val="28"/>
          <w:szCs w:val="28"/>
        </w:rPr>
        <w:t>Росреестра</w:t>
      </w:r>
      <w:proofErr w:type="spellEnd"/>
      <w:r w:rsidRPr="00220878">
        <w:rPr>
          <w:color w:val="auto"/>
          <w:sz w:val="28"/>
          <w:szCs w:val="28"/>
        </w:rPr>
        <w:t xml:space="preserve"> по постановке на учет ранее построенного жилья (ИЖС).</w:t>
      </w:r>
      <w:proofErr w:type="gramEnd"/>
    </w:p>
    <w:p w:rsidR="00DB42EB" w:rsidRPr="00220878" w:rsidRDefault="00DB42EB" w:rsidP="00DB42E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208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показателю «Индекс потребительских цен за период с начала года» отклонение отчетных данных за 2021 год от прогнозных значений составило 5,1 п.п. </w:t>
      </w:r>
    </w:p>
    <w:p w:rsidR="00DB42EB" w:rsidRPr="00220878" w:rsidRDefault="00DB42EB" w:rsidP="00DB42E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208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Отклонение связано с ускорением роста цен на продовольственные товары (108,7 %), подорожанием мясопродуктов, плодоовощной продукции, включая картофель, и молочной продукции.</w:t>
      </w:r>
    </w:p>
    <w:p w:rsidR="00DB42EB" w:rsidRPr="00220878" w:rsidRDefault="00DB42EB" w:rsidP="00DB42E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208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показателю «Оборот розничной торговли» отклонение отчетных данных за 2021 год от прогнозных значений составило 20,4 %. </w:t>
      </w:r>
    </w:p>
    <w:p w:rsidR="00DB42EB" w:rsidRPr="00220878" w:rsidRDefault="00DB42EB" w:rsidP="00DB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Увеличение объема оборота розничной торговли относительно прогнозируемых значений объясняется ростом потребительских цен на промышленные и продовольственные товары.</w:t>
      </w:r>
    </w:p>
    <w:p w:rsidR="00DB42EB" w:rsidRPr="00220878" w:rsidRDefault="00DB42EB" w:rsidP="0002152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FF0000"/>
          <w:sz w:val="28"/>
          <w:szCs w:val="28"/>
        </w:rPr>
        <w:t xml:space="preserve"> </w:t>
      </w:r>
      <w:r w:rsidR="00E874E2" w:rsidRPr="00220878">
        <w:rPr>
          <w:color w:val="auto"/>
          <w:sz w:val="28"/>
          <w:szCs w:val="28"/>
        </w:rPr>
        <w:t xml:space="preserve">По показателю «Число малых и средних предприятий, включая </w:t>
      </w:r>
      <w:proofErr w:type="spellStart"/>
      <w:r w:rsidR="00E874E2" w:rsidRPr="00220878">
        <w:rPr>
          <w:color w:val="auto"/>
          <w:sz w:val="28"/>
          <w:szCs w:val="28"/>
        </w:rPr>
        <w:t>микропредприятия</w:t>
      </w:r>
      <w:proofErr w:type="spellEnd"/>
      <w:r w:rsidR="00E874E2" w:rsidRPr="00220878">
        <w:rPr>
          <w:color w:val="auto"/>
          <w:sz w:val="28"/>
          <w:szCs w:val="28"/>
        </w:rPr>
        <w:t xml:space="preserve"> (на конец года)» отклонение фактического значения показателя </w:t>
      </w:r>
      <w:proofErr w:type="gramStart"/>
      <w:r w:rsidR="00E874E2" w:rsidRPr="00220878">
        <w:rPr>
          <w:color w:val="auto"/>
          <w:sz w:val="28"/>
          <w:szCs w:val="28"/>
        </w:rPr>
        <w:t>от</w:t>
      </w:r>
      <w:proofErr w:type="gramEnd"/>
      <w:r w:rsidR="00E874E2" w:rsidRPr="00220878">
        <w:rPr>
          <w:color w:val="auto"/>
          <w:sz w:val="28"/>
          <w:szCs w:val="28"/>
        </w:rPr>
        <w:t xml:space="preserve"> прогнозного составило</w:t>
      </w:r>
      <w:r w:rsidR="00F11B6E" w:rsidRPr="00220878">
        <w:rPr>
          <w:color w:val="auto"/>
          <w:sz w:val="28"/>
          <w:szCs w:val="28"/>
        </w:rPr>
        <w:t xml:space="preserve"> минус</w:t>
      </w:r>
      <w:r w:rsidR="00E874E2" w:rsidRPr="00220878">
        <w:rPr>
          <w:color w:val="auto"/>
          <w:sz w:val="28"/>
          <w:szCs w:val="28"/>
        </w:rPr>
        <w:t xml:space="preserve"> </w:t>
      </w:r>
      <w:r w:rsidRPr="00220878">
        <w:rPr>
          <w:color w:val="auto"/>
          <w:sz w:val="28"/>
          <w:szCs w:val="28"/>
        </w:rPr>
        <w:t>7,3</w:t>
      </w:r>
      <w:r w:rsidR="00E874E2" w:rsidRPr="00220878">
        <w:rPr>
          <w:color w:val="auto"/>
          <w:sz w:val="28"/>
          <w:szCs w:val="28"/>
        </w:rPr>
        <w:t xml:space="preserve"> %. </w:t>
      </w:r>
    </w:p>
    <w:p w:rsidR="00DB42EB" w:rsidRPr="00220878" w:rsidRDefault="00DB42EB" w:rsidP="00DB42EB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в 2021 году определяется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Тверьстатом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на основании данных Единого реестра субъектов малого и среднего </w:t>
      </w:r>
      <w:r w:rsidRPr="0022087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сформированного УФНС России. Отметим, что из Единого реестра субъектов малого и среднего предпринимательства ежегодно исключаются субъекты предпринимательства, которые фактически не осуществляют деятельность или несвоевременно представляют отчетность о среднесписочной численности работников, что отчасти объясняет снижение показателя.</w:t>
      </w:r>
    </w:p>
    <w:p w:rsidR="00DB42EB" w:rsidRPr="00220878" w:rsidRDefault="00DB42EB" w:rsidP="00DB42EB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По показателю «Оборот малых и средних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(без внешних совместителей)» отклонение фактического значения показателя </w:t>
      </w:r>
      <w:proofErr w:type="gramStart"/>
      <w:r w:rsidRPr="002208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0878">
        <w:rPr>
          <w:rFonts w:ascii="Times New Roman" w:hAnsi="Times New Roman" w:cs="Times New Roman"/>
          <w:sz w:val="28"/>
          <w:szCs w:val="28"/>
        </w:rPr>
        <w:t xml:space="preserve"> прогнозного составило минус 25 % .</w:t>
      </w:r>
    </w:p>
    <w:p w:rsidR="00DB42EB" w:rsidRPr="00220878" w:rsidRDefault="00DB42EB" w:rsidP="00DB42EB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Увеличение оборота малых и средних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, относительно прогнозируемых значений объясняется снижением в 2021 году предпринимательской активности хозяйствующих субъектов,</w:t>
      </w:r>
      <w:r w:rsidR="002874A0" w:rsidRPr="00220878">
        <w:rPr>
          <w:rFonts w:ascii="Times New Roman" w:hAnsi="Times New Roman" w:cs="Times New Roman"/>
          <w:sz w:val="28"/>
          <w:szCs w:val="28"/>
        </w:rPr>
        <w:t xml:space="preserve"> в частности в ООО "ЛПХ Сияние", а также </w:t>
      </w:r>
      <w:r w:rsidRPr="00220878">
        <w:rPr>
          <w:rFonts w:ascii="Times New Roman" w:hAnsi="Times New Roman" w:cs="Times New Roman"/>
          <w:sz w:val="28"/>
          <w:szCs w:val="28"/>
        </w:rPr>
        <w:t xml:space="preserve"> прекращение деятельности отдельных субъектов, что способствовало снижению объемов реализации произведенных субъектами МСП товаров и услуг. </w:t>
      </w:r>
    </w:p>
    <w:p w:rsidR="00E874E2" w:rsidRPr="00220878" w:rsidRDefault="002874A0" w:rsidP="00DB42EB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FF0000"/>
          <w:sz w:val="28"/>
          <w:szCs w:val="28"/>
        </w:rPr>
        <w:t xml:space="preserve">  </w:t>
      </w:r>
      <w:r w:rsidR="00E874E2" w:rsidRPr="00220878">
        <w:rPr>
          <w:color w:val="auto"/>
          <w:sz w:val="28"/>
          <w:szCs w:val="28"/>
        </w:rPr>
        <w:t xml:space="preserve">По показателю «Среднемесячная номинальная начисленная заработная плата в целом по </w:t>
      </w:r>
      <w:r w:rsidRPr="00220878">
        <w:rPr>
          <w:color w:val="auto"/>
          <w:sz w:val="28"/>
          <w:szCs w:val="28"/>
        </w:rPr>
        <w:t>м</w:t>
      </w:r>
      <w:r w:rsidR="00E874E2" w:rsidRPr="00220878">
        <w:rPr>
          <w:color w:val="auto"/>
          <w:sz w:val="28"/>
          <w:szCs w:val="28"/>
        </w:rPr>
        <w:t>у</w:t>
      </w:r>
      <w:r w:rsidRPr="00220878">
        <w:rPr>
          <w:color w:val="auto"/>
          <w:sz w:val="28"/>
          <w:szCs w:val="28"/>
        </w:rPr>
        <w:t>ниципальному округу</w:t>
      </w:r>
      <w:r w:rsidR="00E874E2" w:rsidRPr="00220878">
        <w:rPr>
          <w:color w:val="auto"/>
          <w:sz w:val="28"/>
          <w:szCs w:val="28"/>
        </w:rPr>
        <w:t>» в 20</w:t>
      </w:r>
      <w:r w:rsidR="00F11B6E" w:rsidRPr="00220878">
        <w:rPr>
          <w:color w:val="auto"/>
          <w:sz w:val="28"/>
          <w:szCs w:val="28"/>
        </w:rPr>
        <w:t>2</w:t>
      </w:r>
      <w:r w:rsidRPr="00220878">
        <w:rPr>
          <w:color w:val="auto"/>
          <w:sz w:val="28"/>
          <w:szCs w:val="28"/>
        </w:rPr>
        <w:t xml:space="preserve">1 </w:t>
      </w:r>
      <w:r w:rsidR="00E874E2" w:rsidRPr="00220878">
        <w:rPr>
          <w:color w:val="auto"/>
          <w:sz w:val="28"/>
          <w:szCs w:val="28"/>
        </w:rPr>
        <w:t xml:space="preserve">году отклонение отчетных данных от прогнозных показателей составило </w:t>
      </w:r>
      <w:r w:rsidR="001E2BD6" w:rsidRPr="00220878">
        <w:rPr>
          <w:color w:val="auto"/>
          <w:sz w:val="28"/>
          <w:szCs w:val="28"/>
        </w:rPr>
        <w:t>10,3</w:t>
      </w:r>
      <w:r w:rsidR="00E874E2" w:rsidRPr="00220878">
        <w:rPr>
          <w:color w:val="auto"/>
          <w:sz w:val="28"/>
          <w:szCs w:val="28"/>
        </w:rPr>
        <w:t xml:space="preserve"> %. </w:t>
      </w:r>
    </w:p>
    <w:p w:rsidR="001E2BD6" w:rsidRPr="00220878" w:rsidRDefault="001E2BD6" w:rsidP="001E2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color w:val="000000"/>
          <w:sz w:val="28"/>
          <w:szCs w:val="28"/>
        </w:rPr>
        <w:t>Увеличение минимального размера оплаты труда и успешная работа местных предприятий позволил</w:t>
      </w:r>
      <w:r w:rsidR="00DE7ACD" w:rsidRPr="002208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поддержать уровень доходов населения (уровень реальных располагаемых доходов в регионе вырос на </w:t>
      </w:r>
      <w:r w:rsidR="00DE7ACD" w:rsidRPr="00220878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%, при этом среднемесячная заработная плата увеличилась с </w:t>
      </w:r>
      <w:r w:rsidR="00DE7ACD" w:rsidRPr="00220878">
        <w:rPr>
          <w:rFonts w:ascii="Times New Roman" w:hAnsi="Times New Roman" w:cs="Times New Roman"/>
          <w:color w:val="000000"/>
          <w:sz w:val="28"/>
          <w:szCs w:val="28"/>
        </w:rPr>
        <w:t>23066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,0 рублей в 2020 году до </w:t>
      </w:r>
      <w:r w:rsidR="00DE7ACD" w:rsidRPr="00220878">
        <w:rPr>
          <w:rFonts w:ascii="Times New Roman" w:hAnsi="Times New Roman" w:cs="Times New Roman"/>
          <w:color w:val="000000"/>
          <w:sz w:val="28"/>
          <w:szCs w:val="28"/>
        </w:rPr>
        <w:t>24522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,0 рублей в 2021 году или </w:t>
      </w:r>
      <w:proofErr w:type="gramStart"/>
      <w:r w:rsidRPr="0022087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ACD" w:rsidRPr="00220878">
        <w:rPr>
          <w:rFonts w:ascii="Times New Roman" w:hAnsi="Times New Roman" w:cs="Times New Roman"/>
          <w:color w:val="000000"/>
          <w:sz w:val="28"/>
          <w:szCs w:val="28"/>
        </w:rPr>
        <w:t>6,44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7E5941" w:rsidRPr="00220878" w:rsidRDefault="007E5941" w:rsidP="007E5941">
      <w:pPr>
        <w:spacing w:after="0"/>
        <w:ind w:firstLine="709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E5941" w:rsidRPr="00220878" w:rsidRDefault="007E5941" w:rsidP="007E5941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87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II.</w:t>
      </w:r>
    </w:p>
    <w:p w:rsidR="007E5941" w:rsidRPr="00220878" w:rsidRDefault="007E5941" w:rsidP="007E5941">
      <w:pPr>
        <w:pStyle w:val="Default"/>
        <w:spacing w:line="276" w:lineRule="auto"/>
        <w:ind w:firstLine="54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220878">
        <w:rPr>
          <w:rFonts w:eastAsiaTheme="minorHAnsi"/>
          <w:color w:val="auto"/>
          <w:sz w:val="28"/>
          <w:szCs w:val="28"/>
          <w:lang w:eastAsia="en-US"/>
        </w:rPr>
        <w:t>Оценка факторов и ограничений экономического роста Западнодвинского  муниципального округа Тверской области на 202</w:t>
      </w:r>
      <w:r w:rsidR="00FF1C91" w:rsidRPr="00220878">
        <w:rPr>
          <w:rFonts w:eastAsiaTheme="minorHAnsi"/>
          <w:color w:val="auto"/>
          <w:sz w:val="28"/>
          <w:szCs w:val="28"/>
          <w:lang w:eastAsia="en-US"/>
        </w:rPr>
        <w:t>3</w:t>
      </w: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 год и на плановый период</w:t>
      </w:r>
    </w:p>
    <w:p w:rsidR="007E5941" w:rsidRPr="00220878" w:rsidRDefault="007E5941" w:rsidP="007E5941">
      <w:pPr>
        <w:pStyle w:val="Default"/>
        <w:spacing w:line="276" w:lineRule="auto"/>
        <w:ind w:firstLine="54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 202</w:t>
      </w:r>
      <w:r w:rsidR="00FF1C91" w:rsidRPr="00220878">
        <w:rPr>
          <w:rFonts w:eastAsiaTheme="minorHAnsi"/>
          <w:color w:val="auto"/>
          <w:sz w:val="28"/>
          <w:szCs w:val="28"/>
          <w:lang w:eastAsia="en-US"/>
        </w:rPr>
        <w:t>4</w:t>
      </w: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 и 202</w:t>
      </w:r>
      <w:r w:rsidR="00FF1C91" w:rsidRPr="00220878">
        <w:rPr>
          <w:rFonts w:eastAsiaTheme="minorHAnsi"/>
          <w:color w:val="auto"/>
          <w:sz w:val="28"/>
          <w:szCs w:val="28"/>
          <w:lang w:eastAsia="en-US"/>
        </w:rPr>
        <w:t>5</w:t>
      </w: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 годов</w:t>
      </w:r>
    </w:p>
    <w:p w:rsidR="007E5941" w:rsidRPr="00220878" w:rsidRDefault="007E5941" w:rsidP="007E5941">
      <w:pPr>
        <w:pStyle w:val="Default"/>
        <w:spacing w:line="276" w:lineRule="auto"/>
        <w:ind w:firstLine="540"/>
        <w:jc w:val="center"/>
        <w:rPr>
          <w:color w:val="auto"/>
          <w:sz w:val="28"/>
          <w:szCs w:val="28"/>
        </w:rPr>
      </w:pPr>
    </w:p>
    <w:p w:rsidR="009B7D9E" w:rsidRPr="00220878" w:rsidRDefault="009B7D9E" w:rsidP="009B7D9E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8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 1.</w:t>
      </w:r>
    </w:p>
    <w:p w:rsidR="009B7D9E" w:rsidRPr="00220878" w:rsidRDefault="009B7D9E" w:rsidP="009B7D9E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87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Демографическая ситуация</w:t>
      </w:r>
    </w:p>
    <w:p w:rsidR="009B7D9E" w:rsidRPr="00220878" w:rsidRDefault="009B7D9E" w:rsidP="009B7D9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B7D9E" w:rsidRPr="00220878" w:rsidRDefault="009B7D9E" w:rsidP="00E24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муниципальном округе продолжает оставаться неблагоприятной. Решающую роль в демографическом развитии округа играет внешняя исходящая миграция, масштабы которой значительны из-за близости административного центра к Твери, Москве и Санкт-Петербургу. Массовая миграция, прежде всего в крупные мегаполисы, не только вызвала общее сокращение численности населения, но и оказала отрицательное влияние на демографические процессы в </w:t>
      </w:r>
      <w:r w:rsidR="00B4096A" w:rsidRPr="00220878">
        <w:rPr>
          <w:rFonts w:ascii="Times New Roman" w:hAnsi="Times New Roman" w:cs="Times New Roman"/>
          <w:sz w:val="28"/>
          <w:szCs w:val="28"/>
        </w:rPr>
        <w:t>о</w:t>
      </w:r>
      <w:r w:rsidRPr="00220878">
        <w:rPr>
          <w:rFonts w:ascii="Times New Roman" w:hAnsi="Times New Roman" w:cs="Times New Roman"/>
          <w:sz w:val="28"/>
          <w:szCs w:val="28"/>
        </w:rPr>
        <w:t xml:space="preserve">круге, так как уезжают преимущественно молодые люди. Результат этого явления: ускоренное старение, снижение рождаемости, ухудшение качественных характеристик оставшегося населения. </w:t>
      </w:r>
    </w:p>
    <w:p w:rsidR="009B7D9E" w:rsidRPr="00220878" w:rsidRDefault="009B7D9E" w:rsidP="00E24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lastRenderedPageBreak/>
        <w:t>Среднегодовая численность населения Западнодвинского</w:t>
      </w:r>
      <w:r w:rsidR="004A65F4" w:rsidRPr="0022087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20878">
        <w:rPr>
          <w:rFonts w:ascii="Times New Roman" w:hAnsi="Times New Roman" w:cs="Times New Roman"/>
          <w:sz w:val="28"/>
          <w:szCs w:val="28"/>
        </w:rPr>
        <w:t xml:space="preserve"> округа за 20</w:t>
      </w:r>
      <w:r w:rsidR="00B4096A" w:rsidRPr="00220878">
        <w:rPr>
          <w:rFonts w:ascii="Times New Roman" w:hAnsi="Times New Roman" w:cs="Times New Roman"/>
          <w:sz w:val="28"/>
          <w:szCs w:val="28"/>
        </w:rPr>
        <w:t>2</w:t>
      </w:r>
      <w:r w:rsidR="00FF1C91" w:rsidRPr="00220878">
        <w:rPr>
          <w:rFonts w:ascii="Times New Roman" w:hAnsi="Times New Roman" w:cs="Times New Roman"/>
          <w:sz w:val="28"/>
          <w:szCs w:val="28"/>
        </w:rPr>
        <w:t>1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 составила  1</w:t>
      </w:r>
      <w:r w:rsidR="00B4096A" w:rsidRPr="00220878">
        <w:rPr>
          <w:rFonts w:ascii="Times New Roman" w:hAnsi="Times New Roman" w:cs="Times New Roman"/>
          <w:sz w:val="28"/>
          <w:szCs w:val="28"/>
        </w:rPr>
        <w:t>2</w:t>
      </w:r>
      <w:r w:rsidR="002815C9" w:rsidRPr="00220878">
        <w:rPr>
          <w:rFonts w:ascii="Times New Roman" w:hAnsi="Times New Roman" w:cs="Times New Roman"/>
          <w:sz w:val="28"/>
          <w:szCs w:val="28"/>
        </w:rPr>
        <w:t>344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15C9" w:rsidRPr="00220878">
        <w:rPr>
          <w:rFonts w:ascii="Times New Roman" w:hAnsi="Times New Roman" w:cs="Times New Roman"/>
          <w:sz w:val="28"/>
          <w:szCs w:val="28"/>
        </w:rPr>
        <w:t>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и сократилась по сравнению с 20</w:t>
      </w:r>
      <w:r w:rsidR="002815C9" w:rsidRPr="00220878">
        <w:rPr>
          <w:rFonts w:ascii="Times New Roman" w:hAnsi="Times New Roman" w:cs="Times New Roman"/>
          <w:sz w:val="28"/>
          <w:szCs w:val="28"/>
        </w:rPr>
        <w:t>20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годом на 2,</w:t>
      </w:r>
      <w:r w:rsidR="002815C9" w:rsidRPr="00220878">
        <w:rPr>
          <w:rFonts w:ascii="Times New Roman" w:hAnsi="Times New Roman" w:cs="Times New Roman"/>
          <w:sz w:val="28"/>
          <w:szCs w:val="28"/>
        </w:rPr>
        <w:t>8</w:t>
      </w:r>
      <w:r w:rsidRPr="0022087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745A3" w:rsidRPr="00220878" w:rsidRDefault="009B7D9E" w:rsidP="00E24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На 202</w:t>
      </w:r>
      <w:r w:rsidR="002815C9" w:rsidRPr="00220878">
        <w:rPr>
          <w:rFonts w:ascii="Times New Roman" w:hAnsi="Times New Roman" w:cs="Times New Roman"/>
          <w:sz w:val="28"/>
          <w:szCs w:val="28"/>
        </w:rPr>
        <w:t>2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 и прогнозируемый период 202</w:t>
      </w:r>
      <w:r w:rsidR="002815C9" w:rsidRPr="00220878">
        <w:rPr>
          <w:rFonts w:ascii="Times New Roman" w:hAnsi="Times New Roman" w:cs="Times New Roman"/>
          <w:sz w:val="28"/>
          <w:szCs w:val="28"/>
        </w:rPr>
        <w:t>4</w:t>
      </w:r>
      <w:r w:rsidRPr="00220878">
        <w:rPr>
          <w:rFonts w:ascii="Times New Roman" w:hAnsi="Times New Roman" w:cs="Times New Roman"/>
          <w:sz w:val="28"/>
          <w:szCs w:val="28"/>
        </w:rPr>
        <w:t xml:space="preserve"> – 202</w:t>
      </w:r>
      <w:r w:rsidR="002815C9" w:rsidRPr="00220878">
        <w:rPr>
          <w:rFonts w:ascii="Times New Roman" w:hAnsi="Times New Roman" w:cs="Times New Roman"/>
          <w:sz w:val="28"/>
          <w:szCs w:val="28"/>
        </w:rPr>
        <w:t>5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годов демографическая ситуация в </w:t>
      </w:r>
      <w:r w:rsidR="00B4096A" w:rsidRPr="00220878"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 w:rsidRPr="00220878">
        <w:rPr>
          <w:rFonts w:ascii="Times New Roman" w:hAnsi="Times New Roman" w:cs="Times New Roman"/>
          <w:sz w:val="28"/>
          <w:szCs w:val="28"/>
        </w:rPr>
        <w:t xml:space="preserve">круге будет развиваться, в первую очередь, под влиянием уже сложившихся тенденций рождаемости и смертности. По оценке </w:t>
      </w:r>
      <w:r w:rsidR="002815C9" w:rsidRPr="00220878">
        <w:rPr>
          <w:rFonts w:ascii="Times New Roman" w:hAnsi="Times New Roman" w:cs="Times New Roman"/>
          <w:sz w:val="28"/>
          <w:szCs w:val="28"/>
        </w:rPr>
        <w:t>администра</w:t>
      </w:r>
      <w:r w:rsidRPr="00220878">
        <w:rPr>
          <w:rFonts w:ascii="Times New Roman" w:hAnsi="Times New Roman" w:cs="Times New Roman"/>
          <w:sz w:val="28"/>
          <w:szCs w:val="28"/>
        </w:rPr>
        <w:t xml:space="preserve">ции Западнодвинского </w:t>
      </w:r>
      <w:r w:rsidR="002815C9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 w:cs="Times New Roman"/>
          <w:sz w:val="28"/>
          <w:szCs w:val="28"/>
        </w:rPr>
        <w:t>, ежегодно численность населения  будет сокращаться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B4096A" w:rsidRPr="00220878">
        <w:rPr>
          <w:rFonts w:ascii="Times New Roman" w:hAnsi="Times New Roman" w:cs="Times New Roman"/>
          <w:sz w:val="28"/>
          <w:szCs w:val="28"/>
        </w:rPr>
        <w:t xml:space="preserve">с </w:t>
      </w:r>
      <w:r w:rsidR="002815C9" w:rsidRPr="00220878">
        <w:rPr>
          <w:rFonts w:ascii="Times New Roman" w:hAnsi="Times New Roman" w:cs="Times New Roman"/>
          <w:sz w:val="28"/>
          <w:szCs w:val="28"/>
        </w:rPr>
        <w:t>2,8</w:t>
      </w:r>
      <w:r w:rsidR="00B4096A" w:rsidRPr="00220878">
        <w:rPr>
          <w:rFonts w:ascii="Times New Roman" w:hAnsi="Times New Roman" w:cs="Times New Roman"/>
          <w:sz w:val="28"/>
          <w:szCs w:val="28"/>
        </w:rPr>
        <w:t xml:space="preserve"> до</w:t>
      </w:r>
      <w:r w:rsidRPr="00220878">
        <w:rPr>
          <w:rFonts w:ascii="Times New Roman" w:hAnsi="Times New Roman" w:cs="Times New Roman"/>
          <w:sz w:val="28"/>
          <w:szCs w:val="28"/>
        </w:rPr>
        <w:t xml:space="preserve"> 2,</w:t>
      </w:r>
      <w:r w:rsidR="002815C9" w:rsidRPr="00220878">
        <w:rPr>
          <w:rFonts w:ascii="Times New Roman" w:hAnsi="Times New Roman" w:cs="Times New Roman"/>
          <w:sz w:val="28"/>
          <w:szCs w:val="28"/>
        </w:rPr>
        <w:t>4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по 1 варианту и к 202</w:t>
      </w:r>
      <w:r w:rsidR="002815C9" w:rsidRPr="00220878">
        <w:rPr>
          <w:rFonts w:ascii="Times New Roman" w:hAnsi="Times New Roman" w:cs="Times New Roman"/>
          <w:sz w:val="28"/>
          <w:szCs w:val="28"/>
        </w:rPr>
        <w:t>5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Pr="00220878">
        <w:rPr>
          <w:rFonts w:ascii="Times New Roman" w:hAnsi="Times New Roman" w:cs="Times New Roman"/>
          <w:sz w:val="28"/>
          <w:szCs w:val="28"/>
        </w:rPr>
        <w:br/>
        <w:t>11</w:t>
      </w:r>
      <w:r w:rsidR="002815C9" w:rsidRPr="00220878">
        <w:rPr>
          <w:rFonts w:ascii="Times New Roman" w:hAnsi="Times New Roman" w:cs="Times New Roman"/>
          <w:sz w:val="28"/>
          <w:szCs w:val="28"/>
        </w:rPr>
        <w:t>250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AE189B" w:rsidRPr="00220878">
        <w:rPr>
          <w:rFonts w:ascii="Times New Roman" w:hAnsi="Times New Roman" w:cs="Times New Roman"/>
          <w:sz w:val="28"/>
          <w:szCs w:val="28"/>
        </w:rPr>
        <w:t>1</w:t>
      </w:r>
      <w:r w:rsidR="002815C9" w:rsidRPr="00220878">
        <w:rPr>
          <w:rFonts w:ascii="Times New Roman" w:hAnsi="Times New Roman" w:cs="Times New Roman"/>
          <w:sz w:val="28"/>
          <w:szCs w:val="28"/>
        </w:rPr>
        <w:t>271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 (на </w:t>
      </w:r>
      <w:r w:rsidR="00B4096A" w:rsidRPr="00220878">
        <w:rPr>
          <w:rFonts w:ascii="Times New Roman" w:hAnsi="Times New Roman" w:cs="Times New Roman"/>
          <w:sz w:val="28"/>
          <w:szCs w:val="28"/>
        </w:rPr>
        <w:t>10</w:t>
      </w:r>
      <w:r w:rsidR="00AE189B" w:rsidRPr="00220878">
        <w:rPr>
          <w:rFonts w:ascii="Times New Roman" w:hAnsi="Times New Roman" w:cs="Times New Roman"/>
          <w:sz w:val="28"/>
          <w:szCs w:val="28"/>
        </w:rPr>
        <w:t>,</w:t>
      </w:r>
      <w:r w:rsidR="002815C9" w:rsidRPr="00220878">
        <w:rPr>
          <w:rFonts w:ascii="Times New Roman" w:hAnsi="Times New Roman" w:cs="Times New Roman"/>
          <w:sz w:val="28"/>
          <w:szCs w:val="28"/>
        </w:rPr>
        <w:t>2</w:t>
      </w:r>
      <w:r w:rsidRPr="00220878">
        <w:rPr>
          <w:rFonts w:ascii="Times New Roman" w:hAnsi="Times New Roman" w:cs="Times New Roman"/>
          <w:sz w:val="28"/>
          <w:szCs w:val="28"/>
        </w:rPr>
        <w:t xml:space="preserve"> %) меньше, чем в </w:t>
      </w:r>
      <w:r w:rsidRPr="00220878">
        <w:rPr>
          <w:rFonts w:ascii="Times New Roman" w:hAnsi="Times New Roman" w:cs="Times New Roman"/>
          <w:sz w:val="28"/>
          <w:szCs w:val="28"/>
        </w:rPr>
        <w:br/>
        <w:t>20</w:t>
      </w:r>
      <w:r w:rsidR="00B4096A" w:rsidRPr="00220878">
        <w:rPr>
          <w:rFonts w:ascii="Times New Roman" w:hAnsi="Times New Roman" w:cs="Times New Roman"/>
          <w:sz w:val="28"/>
          <w:szCs w:val="28"/>
        </w:rPr>
        <w:t>2</w:t>
      </w:r>
      <w:r w:rsidR="002815C9" w:rsidRPr="00220878">
        <w:rPr>
          <w:rFonts w:ascii="Times New Roman" w:hAnsi="Times New Roman" w:cs="Times New Roman"/>
          <w:sz w:val="28"/>
          <w:szCs w:val="28"/>
        </w:rPr>
        <w:t>1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году. По 2 варианту численность населения ежегодно будет уменьшаться на </w:t>
      </w:r>
      <w:r w:rsidR="003745A3" w:rsidRPr="00220878">
        <w:rPr>
          <w:rFonts w:ascii="Times New Roman" w:hAnsi="Times New Roman" w:cs="Times New Roman"/>
          <w:sz w:val="28"/>
          <w:szCs w:val="28"/>
        </w:rPr>
        <w:t>2,</w:t>
      </w:r>
      <w:r w:rsidR="002815C9" w:rsidRPr="00220878">
        <w:rPr>
          <w:rFonts w:ascii="Times New Roman" w:hAnsi="Times New Roman" w:cs="Times New Roman"/>
          <w:sz w:val="28"/>
          <w:szCs w:val="28"/>
        </w:rPr>
        <w:t>6</w:t>
      </w:r>
      <w:r w:rsidRPr="00220878">
        <w:rPr>
          <w:rFonts w:ascii="Times New Roman" w:hAnsi="Times New Roman" w:cs="Times New Roman"/>
          <w:sz w:val="28"/>
          <w:szCs w:val="28"/>
        </w:rPr>
        <w:t xml:space="preserve"> – </w:t>
      </w:r>
      <w:r w:rsidR="003745A3" w:rsidRPr="00220878">
        <w:rPr>
          <w:rFonts w:ascii="Times New Roman" w:hAnsi="Times New Roman" w:cs="Times New Roman"/>
          <w:sz w:val="28"/>
          <w:szCs w:val="28"/>
        </w:rPr>
        <w:t>2,</w:t>
      </w:r>
      <w:r w:rsidR="002815C9" w:rsidRPr="00220878">
        <w:rPr>
          <w:rFonts w:ascii="Times New Roman" w:hAnsi="Times New Roman" w:cs="Times New Roman"/>
          <w:sz w:val="28"/>
          <w:szCs w:val="28"/>
        </w:rPr>
        <w:t>5</w:t>
      </w:r>
      <w:r w:rsidRPr="00220878">
        <w:rPr>
          <w:rFonts w:ascii="Times New Roman" w:hAnsi="Times New Roman" w:cs="Times New Roman"/>
          <w:sz w:val="28"/>
          <w:szCs w:val="28"/>
        </w:rPr>
        <w:t xml:space="preserve"> %</w:t>
      </w:r>
      <w:r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и к концу прогнозного периода достигнет значения, равного 1</w:t>
      </w:r>
      <w:r w:rsidR="00AE189B" w:rsidRPr="00220878">
        <w:rPr>
          <w:rFonts w:ascii="Times New Roman" w:hAnsi="Times New Roman" w:cs="Times New Roman"/>
          <w:sz w:val="28"/>
          <w:szCs w:val="28"/>
        </w:rPr>
        <w:t>1</w:t>
      </w:r>
      <w:r w:rsidR="002815C9" w:rsidRPr="00220878">
        <w:rPr>
          <w:rFonts w:ascii="Times New Roman" w:hAnsi="Times New Roman" w:cs="Times New Roman"/>
          <w:sz w:val="28"/>
          <w:szCs w:val="28"/>
        </w:rPr>
        <w:t>268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2815C9" w:rsidRPr="00220878">
        <w:rPr>
          <w:rFonts w:ascii="Times New Roman" w:hAnsi="Times New Roman" w:cs="Times New Roman"/>
          <w:sz w:val="28"/>
          <w:szCs w:val="28"/>
        </w:rPr>
        <w:t>90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B4096A" w:rsidRPr="00220878">
        <w:rPr>
          <w:rFonts w:ascii="Times New Roman" w:hAnsi="Times New Roman" w:cs="Times New Roman"/>
          <w:sz w:val="28"/>
          <w:szCs w:val="28"/>
        </w:rPr>
        <w:t>2</w:t>
      </w:r>
      <w:r w:rsidR="002815C9" w:rsidRPr="00220878">
        <w:rPr>
          <w:rFonts w:ascii="Times New Roman" w:hAnsi="Times New Roman" w:cs="Times New Roman"/>
          <w:sz w:val="28"/>
          <w:szCs w:val="28"/>
        </w:rPr>
        <w:t>1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B7D9E" w:rsidRPr="00220878" w:rsidRDefault="009B7D9E" w:rsidP="003745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45A3" w:rsidRPr="00220878">
        <w:rPr>
          <w:rFonts w:ascii="Times New Roman" w:hAnsi="Times New Roman" w:cs="Times New Roman"/>
          <w:sz w:val="28"/>
          <w:szCs w:val="28"/>
        </w:rPr>
        <w:t>В 20</w:t>
      </w:r>
      <w:r w:rsidR="00B4096A" w:rsidRPr="00220878">
        <w:rPr>
          <w:rFonts w:ascii="Times New Roman" w:hAnsi="Times New Roman" w:cs="Times New Roman"/>
          <w:sz w:val="28"/>
          <w:szCs w:val="28"/>
        </w:rPr>
        <w:t>2</w:t>
      </w:r>
      <w:r w:rsidR="002815C9" w:rsidRPr="00220878">
        <w:rPr>
          <w:rFonts w:ascii="Times New Roman" w:hAnsi="Times New Roman" w:cs="Times New Roman"/>
          <w:sz w:val="28"/>
          <w:szCs w:val="28"/>
        </w:rPr>
        <w:t>1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году общий коэффициент рождаемости </w:t>
      </w:r>
      <w:r w:rsidR="004B4AFE" w:rsidRPr="00220878">
        <w:rPr>
          <w:rFonts w:ascii="Times New Roman" w:hAnsi="Times New Roman" w:cs="Times New Roman"/>
          <w:sz w:val="28"/>
          <w:szCs w:val="28"/>
        </w:rPr>
        <w:t>снизил</w:t>
      </w:r>
      <w:r w:rsidR="00B4096A" w:rsidRPr="00220878">
        <w:rPr>
          <w:rFonts w:ascii="Times New Roman" w:hAnsi="Times New Roman" w:cs="Times New Roman"/>
          <w:sz w:val="28"/>
          <w:szCs w:val="28"/>
        </w:rPr>
        <w:t>ся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на </w:t>
      </w:r>
      <w:r w:rsidR="004B4AFE" w:rsidRPr="00220878">
        <w:rPr>
          <w:rFonts w:ascii="Times New Roman" w:hAnsi="Times New Roman" w:cs="Times New Roman"/>
          <w:sz w:val="28"/>
          <w:szCs w:val="28"/>
        </w:rPr>
        <w:t>2,8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% по отношению к 20</w:t>
      </w:r>
      <w:r w:rsidR="005922B9" w:rsidRPr="00220878">
        <w:rPr>
          <w:rFonts w:ascii="Times New Roman" w:hAnsi="Times New Roman" w:cs="Times New Roman"/>
          <w:sz w:val="28"/>
          <w:szCs w:val="28"/>
        </w:rPr>
        <w:t>20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году и составил </w:t>
      </w:r>
      <w:r w:rsidR="004B4AFE" w:rsidRPr="00220878">
        <w:rPr>
          <w:rFonts w:ascii="Times New Roman" w:hAnsi="Times New Roman" w:cs="Times New Roman"/>
          <w:sz w:val="28"/>
          <w:szCs w:val="28"/>
        </w:rPr>
        <w:t>6,9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5A3" w:rsidRPr="00220878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на 1 000 населения. Это объясняется снижением численности женщин репродуктивного возраста 20-29 лет, а также тенденцией откладывания рождения ребенка на более поздний период. В прогнозном периоде по консервативному варианту </w:t>
      </w:r>
      <w:r w:rsidR="005922B9" w:rsidRPr="00220878">
        <w:rPr>
          <w:rFonts w:ascii="Times New Roman" w:hAnsi="Times New Roman" w:cs="Times New Roman"/>
          <w:sz w:val="28"/>
          <w:szCs w:val="28"/>
        </w:rPr>
        <w:t>показатель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коэффициента рождаемости </w:t>
      </w:r>
      <w:r w:rsidR="005922B9" w:rsidRPr="00220878">
        <w:rPr>
          <w:rFonts w:ascii="Times New Roman" w:hAnsi="Times New Roman" w:cs="Times New Roman"/>
          <w:sz w:val="28"/>
          <w:szCs w:val="28"/>
        </w:rPr>
        <w:t>планируется</w:t>
      </w:r>
      <w:r w:rsidR="005922B9"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2B9" w:rsidRPr="00220878">
        <w:rPr>
          <w:rFonts w:ascii="Times New Roman" w:hAnsi="Times New Roman" w:cs="Times New Roman"/>
          <w:sz w:val="28"/>
          <w:szCs w:val="28"/>
        </w:rPr>
        <w:t>остаться на уровне 2020 года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, </w:t>
      </w:r>
      <w:r w:rsidR="005922B9" w:rsidRPr="00220878">
        <w:rPr>
          <w:rFonts w:ascii="Times New Roman" w:hAnsi="Times New Roman" w:cs="Times New Roman"/>
          <w:sz w:val="28"/>
          <w:szCs w:val="28"/>
        </w:rPr>
        <w:t>т.е.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к 202</w:t>
      </w:r>
      <w:r w:rsidR="004B4AFE" w:rsidRPr="00220878">
        <w:rPr>
          <w:rFonts w:ascii="Times New Roman" w:hAnsi="Times New Roman" w:cs="Times New Roman"/>
          <w:sz w:val="28"/>
          <w:szCs w:val="28"/>
        </w:rPr>
        <w:t>5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году значение показателя составит </w:t>
      </w:r>
      <w:r w:rsidR="005922B9" w:rsidRPr="00220878">
        <w:rPr>
          <w:rFonts w:ascii="Times New Roman" w:hAnsi="Times New Roman" w:cs="Times New Roman"/>
          <w:sz w:val="28"/>
          <w:szCs w:val="28"/>
        </w:rPr>
        <w:t>7,</w:t>
      </w:r>
      <w:r w:rsidR="004B4AFE" w:rsidRPr="00220878">
        <w:rPr>
          <w:rFonts w:ascii="Times New Roman" w:hAnsi="Times New Roman" w:cs="Times New Roman"/>
          <w:sz w:val="28"/>
          <w:szCs w:val="28"/>
        </w:rPr>
        <w:t>1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родивш</w:t>
      </w:r>
      <w:r w:rsidR="005922B9" w:rsidRPr="00220878">
        <w:rPr>
          <w:rFonts w:ascii="Times New Roman" w:hAnsi="Times New Roman" w:cs="Times New Roman"/>
          <w:sz w:val="28"/>
          <w:szCs w:val="28"/>
        </w:rPr>
        <w:t>ихся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на 1 000 человек. В базовом варианте к 202</w:t>
      </w:r>
      <w:r w:rsidR="004B4AFE" w:rsidRPr="00220878">
        <w:rPr>
          <w:rFonts w:ascii="Times New Roman" w:hAnsi="Times New Roman" w:cs="Times New Roman"/>
          <w:sz w:val="28"/>
          <w:szCs w:val="28"/>
        </w:rPr>
        <w:t>5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году значение показателя составит </w:t>
      </w:r>
      <w:r w:rsidR="005922B9" w:rsidRPr="00220878">
        <w:rPr>
          <w:rFonts w:ascii="Times New Roman" w:hAnsi="Times New Roman" w:cs="Times New Roman"/>
          <w:sz w:val="28"/>
          <w:szCs w:val="28"/>
        </w:rPr>
        <w:t>7,2 родившихся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на 1 000 человек, что на </w:t>
      </w:r>
      <w:r w:rsidR="005922B9" w:rsidRPr="00220878">
        <w:rPr>
          <w:rFonts w:ascii="Times New Roman" w:hAnsi="Times New Roman" w:cs="Times New Roman"/>
          <w:sz w:val="28"/>
          <w:szCs w:val="28"/>
        </w:rPr>
        <w:t>1,4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% </w:t>
      </w:r>
      <w:r w:rsidR="005922B9" w:rsidRPr="00220878">
        <w:rPr>
          <w:rFonts w:ascii="Times New Roman" w:hAnsi="Times New Roman" w:cs="Times New Roman"/>
          <w:sz w:val="28"/>
          <w:szCs w:val="28"/>
        </w:rPr>
        <w:t>бол</w:t>
      </w:r>
      <w:r w:rsidR="003745A3" w:rsidRPr="00220878">
        <w:rPr>
          <w:rFonts w:ascii="Times New Roman" w:hAnsi="Times New Roman" w:cs="Times New Roman"/>
          <w:sz w:val="28"/>
          <w:szCs w:val="28"/>
        </w:rPr>
        <w:t>ьше показателя 20</w:t>
      </w:r>
      <w:r w:rsidR="005922B9" w:rsidRPr="00220878">
        <w:rPr>
          <w:rFonts w:ascii="Times New Roman" w:hAnsi="Times New Roman" w:cs="Times New Roman"/>
          <w:sz w:val="28"/>
          <w:szCs w:val="28"/>
        </w:rPr>
        <w:t>2</w:t>
      </w:r>
      <w:r w:rsidR="004B4AFE" w:rsidRPr="00220878">
        <w:rPr>
          <w:rFonts w:ascii="Times New Roman" w:hAnsi="Times New Roman" w:cs="Times New Roman"/>
          <w:sz w:val="28"/>
          <w:szCs w:val="28"/>
        </w:rPr>
        <w:t>1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4AFE" w:rsidRPr="00220878">
        <w:rPr>
          <w:rFonts w:ascii="Times New Roman" w:hAnsi="Times New Roman" w:cs="Times New Roman"/>
          <w:sz w:val="28"/>
          <w:szCs w:val="28"/>
        </w:rPr>
        <w:t>.</w:t>
      </w:r>
    </w:p>
    <w:p w:rsidR="00B63658" w:rsidRPr="00220878" w:rsidRDefault="00B63658" w:rsidP="00E24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Показатель смертности в последние годы показывает тенденцию роста.</w:t>
      </w:r>
      <w:r w:rsidR="004A65F4" w:rsidRPr="00220878">
        <w:rPr>
          <w:rFonts w:ascii="Times New Roman" w:hAnsi="Times New Roman" w:cs="Times New Roman"/>
          <w:sz w:val="28"/>
          <w:szCs w:val="28"/>
        </w:rPr>
        <w:t xml:space="preserve"> В структуре причин смерти населения  наибольший удельный вес имеют болезни системы кровообращения, новообразования, несчастные случаи, болезни органов пищеварения.</w:t>
      </w:r>
      <w:r w:rsidR="00604EE6" w:rsidRPr="00220878">
        <w:rPr>
          <w:rFonts w:ascii="Times New Roman" w:hAnsi="Times New Roman" w:cs="Times New Roman"/>
          <w:sz w:val="28"/>
          <w:szCs w:val="28"/>
        </w:rPr>
        <w:t xml:space="preserve"> Помимо этого, на показатель смертности негативное влияние оказали </w:t>
      </w:r>
      <w:r w:rsidR="00604EE6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распространения новой </w:t>
      </w:r>
      <w:proofErr w:type="spellStart"/>
      <w:r w:rsidR="00604EE6" w:rsidRPr="0022087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604EE6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</w:t>
      </w:r>
      <w:r w:rsidR="004A65F4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К</w:t>
      </w:r>
      <w:r w:rsidR="003745A3" w:rsidRPr="00220878">
        <w:rPr>
          <w:rFonts w:ascii="Times New Roman" w:hAnsi="Times New Roman" w:cs="Times New Roman"/>
          <w:sz w:val="28"/>
          <w:szCs w:val="28"/>
        </w:rPr>
        <w:t>оэффициент смертности</w:t>
      </w:r>
      <w:r w:rsidRPr="00220878">
        <w:rPr>
          <w:rFonts w:ascii="Times New Roman" w:hAnsi="Times New Roman" w:cs="Times New Roman"/>
          <w:sz w:val="28"/>
          <w:szCs w:val="28"/>
        </w:rPr>
        <w:t xml:space="preserve"> в 20</w:t>
      </w:r>
      <w:r w:rsidR="005922B9" w:rsidRPr="00220878">
        <w:rPr>
          <w:rFonts w:ascii="Times New Roman" w:hAnsi="Times New Roman" w:cs="Times New Roman"/>
          <w:sz w:val="28"/>
          <w:szCs w:val="28"/>
        </w:rPr>
        <w:t>2</w:t>
      </w:r>
      <w:r w:rsidR="004B4AFE" w:rsidRPr="00220878">
        <w:rPr>
          <w:rFonts w:ascii="Times New Roman" w:hAnsi="Times New Roman" w:cs="Times New Roman"/>
          <w:sz w:val="28"/>
          <w:szCs w:val="28"/>
        </w:rPr>
        <w:t>1 году</w:t>
      </w:r>
      <w:r w:rsidRPr="00220878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ся на </w:t>
      </w:r>
      <w:r w:rsidR="004B4AFE" w:rsidRPr="00220878">
        <w:rPr>
          <w:rFonts w:ascii="Times New Roman" w:hAnsi="Times New Roman" w:cs="Times New Roman"/>
          <w:sz w:val="28"/>
          <w:szCs w:val="28"/>
        </w:rPr>
        <w:t>3,9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% по отношению к 20</w:t>
      </w:r>
      <w:r w:rsidR="004B4AFE" w:rsidRPr="00220878">
        <w:rPr>
          <w:rFonts w:ascii="Times New Roman" w:hAnsi="Times New Roman" w:cs="Times New Roman"/>
          <w:sz w:val="28"/>
          <w:szCs w:val="28"/>
        </w:rPr>
        <w:t>20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году и составил </w:t>
      </w:r>
      <w:r w:rsidRPr="00220878">
        <w:rPr>
          <w:rFonts w:ascii="Times New Roman" w:hAnsi="Times New Roman" w:cs="Times New Roman"/>
          <w:sz w:val="28"/>
          <w:szCs w:val="28"/>
        </w:rPr>
        <w:t>2</w:t>
      </w:r>
      <w:r w:rsidR="004B4AFE" w:rsidRPr="00220878">
        <w:rPr>
          <w:rFonts w:ascii="Times New Roman" w:hAnsi="Times New Roman" w:cs="Times New Roman"/>
          <w:sz w:val="28"/>
          <w:szCs w:val="28"/>
        </w:rPr>
        <w:t>3,7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умершего на 1 000 населения.</w:t>
      </w:r>
      <w:r w:rsidR="003745A3"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45A3" w:rsidRPr="00220878">
        <w:rPr>
          <w:rFonts w:ascii="Times New Roman" w:hAnsi="Times New Roman" w:cs="Times New Roman"/>
          <w:sz w:val="28"/>
          <w:szCs w:val="28"/>
        </w:rPr>
        <w:t>Оценивается, что в 202</w:t>
      </w:r>
      <w:r w:rsidR="004B4AFE" w:rsidRPr="00220878">
        <w:rPr>
          <w:rFonts w:ascii="Times New Roman" w:hAnsi="Times New Roman" w:cs="Times New Roman"/>
          <w:sz w:val="28"/>
          <w:szCs w:val="28"/>
        </w:rPr>
        <w:t>2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году число </w:t>
      </w:r>
      <w:proofErr w:type="gramStart"/>
      <w:r w:rsidR="003745A3" w:rsidRPr="00220878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3745A3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5922B9" w:rsidRPr="00220878">
        <w:rPr>
          <w:rFonts w:ascii="Times New Roman" w:hAnsi="Times New Roman" w:cs="Times New Roman"/>
          <w:sz w:val="28"/>
          <w:szCs w:val="28"/>
        </w:rPr>
        <w:t>увеличи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5922B9" w:rsidRPr="00220878">
        <w:rPr>
          <w:rFonts w:ascii="Times New Roman" w:hAnsi="Times New Roman" w:cs="Times New Roman"/>
          <w:sz w:val="28"/>
          <w:szCs w:val="28"/>
        </w:rPr>
        <w:t>1</w:t>
      </w:r>
      <w:r w:rsidR="004B4AFE" w:rsidRPr="00220878">
        <w:rPr>
          <w:rFonts w:ascii="Times New Roman" w:hAnsi="Times New Roman" w:cs="Times New Roman"/>
          <w:sz w:val="28"/>
          <w:szCs w:val="28"/>
        </w:rPr>
        <w:t>,3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% по сравнению с предыдущим годом, а коэффициент умерших составит </w:t>
      </w:r>
      <w:r w:rsidRPr="00220878">
        <w:rPr>
          <w:rFonts w:ascii="Times New Roman" w:hAnsi="Times New Roman" w:cs="Times New Roman"/>
          <w:sz w:val="28"/>
          <w:szCs w:val="28"/>
        </w:rPr>
        <w:t>2</w:t>
      </w:r>
      <w:r w:rsidR="004B4AFE" w:rsidRPr="00220878">
        <w:rPr>
          <w:rFonts w:ascii="Times New Roman" w:hAnsi="Times New Roman" w:cs="Times New Roman"/>
          <w:sz w:val="28"/>
          <w:szCs w:val="28"/>
        </w:rPr>
        <w:t>4,0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умершего на 1 000 населения. К 202</w:t>
      </w:r>
      <w:r w:rsidR="004B4AFE" w:rsidRPr="00220878">
        <w:rPr>
          <w:rFonts w:ascii="Times New Roman" w:hAnsi="Times New Roman" w:cs="Times New Roman"/>
          <w:sz w:val="28"/>
          <w:szCs w:val="28"/>
        </w:rPr>
        <w:t>5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году по консервативному варианту коэффициент смертности</w:t>
      </w:r>
      <w:r w:rsidR="003745A3"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увеличи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4B4AFE" w:rsidRPr="00220878">
        <w:rPr>
          <w:rFonts w:ascii="Times New Roman" w:hAnsi="Times New Roman" w:cs="Times New Roman"/>
          <w:sz w:val="28"/>
          <w:szCs w:val="28"/>
        </w:rPr>
        <w:t>2,5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% по сравнению с 20</w:t>
      </w:r>
      <w:r w:rsidR="005922B9" w:rsidRPr="00220878">
        <w:rPr>
          <w:rFonts w:ascii="Times New Roman" w:hAnsi="Times New Roman" w:cs="Times New Roman"/>
          <w:sz w:val="28"/>
          <w:szCs w:val="28"/>
        </w:rPr>
        <w:t>2</w:t>
      </w:r>
      <w:r w:rsidR="004B4AFE" w:rsidRPr="00220878">
        <w:rPr>
          <w:rFonts w:ascii="Times New Roman" w:hAnsi="Times New Roman" w:cs="Times New Roman"/>
          <w:sz w:val="28"/>
          <w:szCs w:val="28"/>
        </w:rPr>
        <w:t>1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годом и составит </w:t>
      </w:r>
      <w:r w:rsidRPr="00220878">
        <w:rPr>
          <w:rFonts w:ascii="Times New Roman" w:hAnsi="Times New Roman" w:cs="Times New Roman"/>
          <w:sz w:val="28"/>
          <w:szCs w:val="28"/>
        </w:rPr>
        <w:t>2</w:t>
      </w:r>
      <w:r w:rsidR="005922B9" w:rsidRPr="00220878">
        <w:rPr>
          <w:rFonts w:ascii="Times New Roman" w:hAnsi="Times New Roman" w:cs="Times New Roman"/>
          <w:sz w:val="28"/>
          <w:szCs w:val="28"/>
        </w:rPr>
        <w:t>4,3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умершего на 1 000 человек населения; по базовому варианту он </w:t>
      </w:r>
      <w:r w:rsidRPr="00220878">
        <w:rPr>
          <w:rFonts w:ascii="Times New Roman" w:hAnsi="Times New Roman" w:cs="Times New Roman"/>
          <w:sz w:val="28"/>
          <w:szCs w:val="28"/>
        </w:rPr>
        <w:t>увеличи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4B4AFE" w:rsidRPr="00220878">
        <w:rPr>
          <w:rFonts w:ascii="Times New Roman" w:hAnsi="Times New Roman" w:cs="Times New Roman"/>
          <w:sz w:val="28"/>
          <w:szCs w:val="28"/>
        </w:rPr>
        <w:t>4,6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Pr="00220878">
        <w:rPr>
          <w:rFonts w:ascii="Times New Roman" w:hAnsi="Times New Roman" w:cs="Times New Roman"/>
          <w:sz w:val="28"/>
          <w:szCs w:val="28"/>
        </w:rPr>
        <w:t>2</w:t>
      </w:r>
      <w:r w:rsidR="005922B9" w:rsidRPr="00220878">
        <w:rPr>
          <w:rFonts w:ascii="Times New Roman" w:hAnsi="Times New Roman" w:cs="Times New Roman"/>
          <w:sz w:val="28"/>
          <w:szCs w:val="28"/>
        </w:rPr>
        <w:t>4,</w:t>
      </w:r>
      <w:r w:rsidR="004B4AFE" w:rsidRPr="00220878">
        <w:rPr>
          <w:rFonts w:ascii="Times New Roman" w:hAnsi="Times New Roman" w:cs="Times New Roman"/>
          <w:sz w:val="28"/>
          <w:szCs w:val="28"/>
        </w:rPr>
        <w:t>8</w:t>
      </w:r>
      <w:r w:rsidR="003745A3" w:rsidRPr="00220878">
        <w:rPr>
          <w:rFonts w:ascii="Times New Roman" w:hAnsi="Times New Roman" w:cs="Times New Roman"/>
          <w:sz w:val="28"/>
          <w:szCs w:val="28"/>
        </w:rPr>
        <w:t xml:space="preserve"> умершего на 1 000 населения. </w:t>
      </w:r>
    </w:p>
    <w:p w:rsidR="004A65F4" w:rsidRPr="00220878" w:rsidRDefault="004A65F4" w:rsidP="00B11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На демографическую ситуацию в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муниципальном округе негативное влияние оказывают и миграционные процессы.</w:t>
      </w:r>
      <w:r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В 20</w:t>
      </w:r>
      <w:r w:rsidR="005922B9" w:rsidRPr="00220878">
        <w:rPr>
          <w:rFonts w:ascii="Times New Roman" w:hAnsi="Times New Roman" w:cs="Times New Roman"/>
          <w:sz w:val="28"/>
          <w:szCs w:val="28"/>
        </w:rPr>
        <w:t>2</w:t>
      </w:r>
      <w:r w:rsidR="004B4AFE" w:rsidRPr="00220878">
        <w:rPr>
          <w:rFonts w:ascii="Times New Roman" w:hAnsi="Times New Roman" w:cs="Times New Roman"/>
          <w:sz w:val="28"/>
          <w:szCs w:val="28"/>
        </w:rPr>
        <w:t>2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году сальдо миграции сложилось отрицательным (-</w:t>
      </w:r>
      <w:r w:rsidR="005922B9" w:rsidRPr="00220878">
        <w:rPr>
          <w:rFonts w:ascii="Times New Roman" w:hAnsi="Times New Roman" w:cs="Times New Roman"/>
          <w:sz w:val="28"/>
          <w:szCs w:val="28"/>
        </w:rPr>
        <w:t>1</w:t>
      </w:r>
      <w:r w:rsidR="004B4AFE" w:rsidRPr="00220878">
        <w:rPr>
          <w:rFonts w:ascii="Times New Roman" w:hAnsi="Times New Roman" w:cs="Times New Roman"/>
          <w:sz w:val="28"/>
          <w:szCs w:val="28"/>
        </w:rPr>
        <w:t>42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человек),  за счет межрайонной и региональной (в пределах России) миграции. В 202</w:t>
      </w:r>
      <w:r w:rsidR="004B4AFE" w:rsidRPr="00220878">
        <w:rPr>
          <w:rFonts w:ascii="Times New Roman" w:hAnsi="Times New Roman" w:cs="Times New Roman"/>
          <w:sz w:val="28"/>
          <w:szCs w:val="28"/>
        </w:rPr>
        <w:t>2</w:t>
      </w:r>
      <w:r w:rsidRPr="00220878">
        <w:rPr>
          <w:rFonts w:ascii="Times New Roman" w:hAnsi="Times New Roman" w:cs="Times New Roman"/>
          <w:sz w:val="28"/>
          <w:szCs w:val="28"/>
        </w:rPr>
        <w:t> году ожидается</w:t>
      </w:r>
      <w:r w:rsidR="005922B9" w:rsidRPr="00220878">
        <w:rPr>
          <w:rFonts w:ascii="Times New Roman" w:hAnsi="Times New Roman" w:cs="Times New Roman"/>
          <w:sz w:val="28"/>
          <w:szCs w:val="28"/>
        </w:rPr>
        <w:t xml:space="preserve"> некоторое снижение</w:t>
      </w:r>
      <w:r w:rsidR="000C33D1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роста миграции (-1</w:t>
      </w:r>
      <w:r w:rsidR="004B4AFE" w:rsidRPr="00220878">
        <w:rPr>
          <w:rFonts w:ascii="Times New Roman" w:hAnsi="Times New Roman" w:cs="Times New Roman"/>
          <w:sz w:val="28"/>
          <w:szCs w:val="28"/>
        </w:rPr>
        <w:t>10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4A65F4" w:rsidRPr="00220878" w:rsidRDefault="004A65F4" w:rsidP="00B11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Планируется, что в прогнозном периоде до 202</w:t>
      </w:r>
      <w:r w:rsidR="004B4AFE" w:rsidRPr="00220878">
        <w:rPr>
          <w:rFonts w:ascii="Times New Roman" w:hAnsi="Times New Roman" w:cs="Times New Roman"/>
          <w:sz w:val="28"/>
          <w:szCs w:val="28"/>
        </w:rPr>
        <w:t>5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года  сальдо миграционного прироста составит – </w:t>
      </w:r>
      <w:r w:rsidR="000C33D1" w:rsidRPr="00220878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4B4AFE" w:rsidRPr="00220878">
        <w:rPr>
          <w:rFonts w:ascii="Times New Roman" w:hAnsi="Times New Roman" w:cs="Times New Roman"/>
          <w:sz w:val="28"/>
          <w:szCs w:val="28"/>
        </w:rPr>
        <w:t>70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человек,  по 2 варианту  </w:t>
      </w:r>
      <w:r w:rsidR="00EB28E6" w:rsidRPr="00220878">
        <w:rPr>
          <w:rFonts w:ascii="Times New Roman" w:hAnsi="Times New Roman" w:cs="Times New Roman"/>
          <w:sz w:val="28"/>
          <w:szCs w:val="28"/>
        </w:rPr>
        <w:t>-</w:t>
      </w:r>
      <w:r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0C33D1" w:rsidRPr="00220878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4B4AFE" w:rsidRPr="00220878">
        <w:rPr>
          <w:rFonts w:ascii="Times New Roman" w:hAnsi="Times New Roman" w:cs="Times New Roman"/>
          <w:sz w:val="28"/>
          <w:szCs w:val="28"/>
        </w:rPr>
        <w:t>75</w:t>
      </w:r>
      <w:r w:rsidR="00550B95" w:rsidRPr="002208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A65F4" w:rsidRPr="00220878" w:rsidRDefault="004A65F4" w:rsidP="00B114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lastRenderedPageBreak/>
        <w:t>Для преодоления негативных тенденций и регулирования демографических процессов, а также снижения социальной напряженности, необходимо реализовать мероприятия в области здравоохранения, защиты социально уязвимых слоев населения, поддержания семьи, детства, молодежи, инвалидов, пожилых людей. Эти мероприятия будут способствовать снижению уровня смертности, повышению уровня рождаемости и показателей средней продолжительности жизни населения. В этом направлении  администрацией</w:t>
      </w:r>
      <w:r w:rsidR="00550B95" w:rsidRPr="00220878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604EE6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разработан и утвержден  план мероприятий по улучшению демографической ситуации.</w:t>
      </w:r>
    </w:p>
    <w:p w:rsidR="00550B95" w:rsidRPr="00220878" w:rsidRDefault="00550B95" w:rsidP="00550B9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Подраздел II. </w:t>
      </w:r>
      <w:r w:rsidR="00652509" w:rsidRPr="00220878">
        <w:rPr>
          <w:rFonts w:ascii="Times New Roman" w:hAnsi="Times New Roman" w:cs="Times New Roman"/>
          <w:sz w:val="28"/>
          <w:szCs w:val="28"/>
        </w:rPr>
        <w:t>Промышленное производство</w:t>
      </w:r>
    </w:p>
    <w:p w:rsidR="0022691C" w:rsidRPr="00220878" w:rsidRDefault="0022691C" w:rsidP="00550B9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00C0F" w:rsidRPr="00220878" w:rsidRDefault="00700C0F" w:rsidP="00700C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 xml:space="preserve">Экономическую составляющую в промышленном производстве Западнодвинского муниципального округа составляют средние, малые и </w:t>
      </w:r>
      <w:proofErr w:type="spellStart"/>
      <w:r w:rsidRPr="0022087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/>
          <w:sz w:val="28"/>
          <w:szCs w:val="28"/>
        </w:rPr>
        <w:t>.</w:t>
      </w:r>
    </w:p>
    <w:p w:rsidR="00700C0F" w:rsidRPr="00220878" w:rsidRDefault="00700C0F" w:rsidP="00700C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 xml:space="preserve">Предприятия выпускают следующую продукцию: пиломатериалы, оконные и дверные блоки, </w:t>
      </w:r>
      <w:proofErr w:type="spellStart"/>
      <w:r w:rsidRPr="00220878">
        <w:rPr>
          <w:rFonts w:ascii="Times New Roman" w:hAnsi="Times New Roman"/>
          <w:sz w:val="28"/>
          <w:szCs w:val="28"/>
        </w:rPr>
        <w:t>пеллеты</w:t>
      </w:r>
      <w:proofErr w:type="spellEnd"/>
      <w:r w:rsidRPr="00220878">
        <w:rPr>
          <w:rFonts w:ascii="Times New Roman" w:hAnsi="Times New Roman"/>
          <w:sz w:val="28"/>
          <w:szCs w:val="28"/>
        </w:rPr>
        <w:t>, асфальтобетонную смесь, хлебобулочные изделия.</w:t>
      </w:r>
    </w:p>
    <w:p w:rsidR="00700C0F" w:rsidRPr="00220878" w:rsidRDefault="00700C0F" w:rsidP="00700C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>Кроме того, предприятия коммунального комплекса, оказывают услуги по:   электроснабжению, водоснабжению, водоотведению, теплоснабжению.</w:t>
      </w:r>
    </w:p>
    <w:p w:rsidR="003A5D45" w:rsidRPr="00220878" w:rsidRDefault="00376775" w:rsidP="003A5D4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>Приоритетной</w:t>
      </w:r>
      <w:r w:rsidR="003A5D45" w:rsidRPr="00220878">
        <w:rPr>
          <w:rFonts w:ascii="Times New Roman" w:hAnsi="Times New Roman"/>
          <w:sz w:val="28"/>
          <w:szCs w:val="28"/>
        </w:rPr>
        <w:t xml:space="preserve"> отраслью</w:t>
      </w:r>
      <w:r w:rsidRPr="00220878">
        <w:rPr>
          <w:rFonts w:ascii="Times New Roman" w:hAnsi="Times New Roman"/>
          <w:sz w:val="28"/>
          <w:szCs w:val="28"/>
        </w:rPr>
        <w:t xml:space="preserve"> остается обработка древесины</w:t>
      </w:r>
      <w:r w:rsidR="003A5D45" w:rsidRPr="00220878">
        <w:rPr>
          <w:rFonts w:ascii="Times New Roman" w:hAnsi="Times New Roman"/>
          <w:sz w:val="28"/>
          <w:szCs w:val="28"/>
        </w:rPr>
        <w:t>, у</w:t>
      </w:r>
      <w:r w:rsidR="003A5D45" w:rsidRPr="00220878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дельный вес предприятий этого вида деятельности составляет 85,7 % общего объема отгрузки</w:t>
      </w:r>
      <w:r w:rsidR="003A5D45" w:rsidRPr="002208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промышленной продукции.</w:t>
      </w:r>
    </w:p>
    <w:p w:rsidR="00E720BB" w:rsidRPr="00220878" w:rsidRDefault="00376775" w:rsidP="00E72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eastAsia="Calibri" w:hAnsi="Times New Roman" w:cs="Times New Roman"/>
          <w:snapToGrid w:val="0"/>
          <w:sz w:val="28"/>
          <w:szCs w:val="28"/>
        </w:rPr>
        <w:t>Значительная доля продукции лесопромышленных предприятий поставлялась на экспорт, но в связи со сложившимися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социально-экономическими условиями в условиях внешнего </w:t>
      </w:r>
      <w:proofErr w:type="spellStart"/>
      <w:r w:rsidRPr="00220878">
        <w:rPr>
          <w:rFonts w:ascii="Times New Roman" w:hAnsi="Times New Roman" w:cs="Times New Roman"/>
          <w:color w:val="000000"/>
          <w:sz w:val="28"/>
          <w:szCs w:val="28"/>
        </w:rPr>
        <w:t>санкционного</w:t>
      </w:r>
      <w:proofErr w:type="spellEnd"/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давления </w:t>
      </w:r>
      <w:r w:rsidR="00E720BB" w:rsidRPr="00220878">
        <w:rPr>
          <w:rFonts w:ascii="Times New Roman" w:hAnsi="Times New Roman" w:cs="Times New Roman"/>
          <w:color w:val="000000"/>
          <w:sz w:val="28"/>
          <w:szCs w:val="28"/>
        </w:rPr>
        <w:t>объем выпуска готовой продукции значительно снизился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20BB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0BB" w:rsidRPr="00220878">
        <w:rPr>
          <w:rFonts w:ascii="Times New Roman" w:eastAsia="Calibri" w:hAnsi="Times New Roman" w:cs="Times New Roman"/>
          <w:snapToGrid w:val="0"/>
          <w:sz w:val="28"/>
          <w:szCs w:val="28"/>
        </w:rPr>
        <w:t>В связи с чем, в</w:t>
      </w:r>
      <w:r w:rsidR="003A5D45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2022 году индекс промышленного производства</w:t>
      </w:r>
      <w:r w:rsidR="00E720BB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 муниципальному образованию</w:t>
      </w:r>
      <w:r w:rsidR="003A5D45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на уровне 92,0 % относительно 2021 года. </w:t>
      </w:r>
      <w:r w:rsidR="00E720BB" w:rsidRPr="00220878">
        <w:rPr>
          <w:rFonts w:ascii="Times New Roman" w:hAnsi="Times New Roman" w:cs="Times New Roman"/>
          <w:color w:val="000000"/>
          <w:sz w:val="28"/>
          <w:szCs w:val="28"/>
        </w:rPr>
        <w:t>Снижение индекса промышленного производства по классу «Обработка древесины»</w:t>
      </w:r>
      <w:r w:rsidR="007E34FB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- 9,8%, "Водоснабжение, водоотведение, организация сбора и утилизации отходов, деятельность по ликвидации загрязнений" </w:t>
      </w:r>
      <w:r w:rsidR="007E34FB" w:rsidRPr="0022087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- 1,2 %</w:t>
      </w:r>
      <w:r w:rsidR="007E34FB"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этом, наблюдается рост промышленного производства по классу </w:t>
      </w:r>
      <w:r w:rsidR="007E34FB" w:rsidRPr="00220878">
        <w:rPr>
          <w:rFonts w:ascii="Times New Roman" w:hAnsi="Times New Roman" w:cs="Times New Roman"/>
          <w:bCs/>
          <w:snapToGrid w:val="0"/>
          <w:sz w:val="28"/>
          <w:szCs w:val="28"/>
        </w:rPr>
        <w:t>«Обеспечение электрической энергией, газом и паром; кондиционирование воздуха» на 1,0%.</w:t>
      </w:r>
    </w:p>
    <w:p w:rsidR="00376775" w:rsidRPr="00220878" w:rsidRDefault="007E34FB" w:rsidP="00E720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878">
        <w:rPr>
          <w:rFonts w:ascii="Times New Roman" w:hAnsi="Times New Roman" w:cs="Times New Roman"/>
          <w:color w:val="000000"/>
          <w:sz w:val="28"/>
          <w:szCs w:val="28"/>
        </w:rPr>
        <w:t>В 2023 году индекс промышленного производства прогнозируется                      на уровне 104,1 %,</w:t>
      </w:r>
      <w:r w:rsidRPr="00220878">
        <w:rPr>
          <w:color w:val="000000"/>
          <w:sz w:val="28"/>
          <w:szCs w:val="28"/>
        </w:rPr>
        <w:t xml:space="preserve">%, 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>что обусловлено наращиванием объемов производства по классу «Обрабатывающие производства»,</w:t>
      </w:r>
      <w:r w:rsidRPr="0022087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и адаптацией предприятий обрабатывающих произво</w:t>
      </w:r>
      <w:proofErr w:type="gramStart"/>
      <w:r w:rsidRPr="00220878">
        <w:rPr>
          <w:rFonts w:ascii="Times New Roman" w:hAnsi="Times New Roman" w:cs="Times New Roman"/>
          <w:color w:val="000000"/>
          <w:sz w:val="28"/>
          <w:szCs w:val="28"/>
        </w:rPr>
        <w:t>дств к сл</w:t>
      </w:r>
      <w:proofErr w:type="gramEnd"/>
      <w:r w:rsidRPr="00220878">
        <w:rPr>
          <w:rFonts w:ascii="Times New Roman" w:hAnsi="Times New Roman" w:cs="Times New Roman"/>
          <w:color w:val="000000"/>
          <w:sz w:val="28"/>
          <w:szCs w:val="28"/>
        </w:rPr>
        <w:t>ожившимся экономическим условиям</w:t>
      </w:r>
      <w:r w:rsidR="009966A7" w:rsidRPr="00220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4FB" w:rsidRPr="00220878" w:rsidRDefault="007E34FB" w:rsidP="007E34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878">
        <w:rPr>
          <w:rFonts w:ascii="Times New Roman" w:hAnsi="Times New Roman" w:cs="Times New Roman"/>
          <w:color w:val="000000"/>
          <w:sz w:val="28"/>
          <w:szCs w:val="28"/>
        </w:rPr>
        <w:t>В 2024 и 2025 годах ожидается замедление темпов роста индекса промышленного производства до 10</w:t>
      </w:r>
      <w:r w:rsidR="009966A7" w:rsidRPr="002208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66A7" w:rsidRPr="002208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% (2024) и 10</w:t>
      </w:r>
      <w:r w:rsidR="009966A7" w:rsidRPr="002208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,2 % (2025) соответственно, что обусловлено завершением периода адаптации предприятий промышленности к сложившейся экономической ситуации (налаживание </w:t>
      </w:r>
      <w:proofErr w:type="spellStart"/>
      <w:r w:rsidRPr="00220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логистических</w:t>
      </w:r>
      <w:proofErr w:type="spellEnd"/>
      <w:r w:rsidRPr="00220878">
        <w:rPr>
          <w:rFonts w:ascii="Times New Roman" w:hAnsi="Times New Roman" w:cs="Times New Roman"/>
          <w:color w:val="000000"/>
          <w:sz w:val="28"/>
          <w:szCs w:val="28"/>
        </w:rPr>
        <w:t xml:space="preserve"> цепочек, поиск рынка сбыта продукции) и переходом на поступательное наращивание объемов производства на имеющихся производственных мощностях обрабатывающих производств.</w:t>
      </w:r>
    </w:p>
    <w:p w:rsidR="007E34FB" w:rsidRPr="00220878" w:rsidRDefault="007E34FB" w:rsidP="007E34FB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220878">
        <w:rPr>
          <w:rFonts w:ascii="Times New Roman" w:hAnsi="Times New Roman" w:cs="Times New Roman"/>
          <w:color w:val="000000"/>
          <w:sz w:val="28"/>
          <w:szCs w:val="28"/>
        </w:rPr>
        <w:t>Факторами, ограничивающими рост производства в обрабатывающем производстве, могут являться недостаточный спрос на продукцию предприятий на внутреннем рынке, высокие тарифы на энергоресурсы и неопределенность экономической ситуации в целом</w:t>
      </w:r>
      <w:r w:rsidRPr="00220878">
        <w:rPr>
          <w:color w:val="000000"/>
          <w:sz w:val="28"/>
          <w:szCs w:val="28"/>
        </w:rPr>
        <w:t>.</w:t>
      </w:r>
    </w:p>
    <w:p w:rsidR="00376775" w:rsidRPr="00220878" w:rsidRDefault="00376775" w:rsidP="00700C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509" w:rsidRPr="00220878" w:rsidRDefault="00652509" w:rsidP="0065250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Подраздел I</w:t>
      </w:r>
      <w:proofErr w:type="spellStart"/>
      <w:r w:rsidRPr="00220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87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. Сельское хозяйство</w:t>
      </w:r>
    </w:p>
    <w:p w:rsidR="00652509" w:rsidRPr="00220878" w:rsidRDefault="00652509" w:rsidP="00700C0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C" w:rsidRPr="00220878" w:rsidRDefault="00BA001C" w:rsidP="00700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во всех категориях хозяйств в 20</w:t>
      </w:r>
      <w:r w:rsidR="00D154CB" w:rsidRPr="00220878">
        <w:rPr>
          <w:rFonts w:ascii="Times New Roman" w:hAnsi="Times New Roman" w:cs="Times New Roman"/>
          <w:sz w:val="28"/>
          <w:szCs w:val="28"/>
        </w:rPr>
        <w:t>2</w:t>
      </w:r>
      <w:r w:rsidR="00BE52D2" w:rsidRPr="00220878">
        <w:rPr>
          <w:rFonts w:ascii="Times New Roman" w:hAnsi="Times New Roman" w:cs="Times New Roman"/>
          <w:sz w:val="28"/>
          <w:szCs w:val="28"/>
        </w:rPr>
        <w:t>1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году составил 2</w:t>
      </w:r>
      <w:r w:rsidR="00D154CB" w:rsidRPr="00220878">
        <w:rPr>
          <w:rFonts w:ascii="Times New Roman" w:hAnsi="Times New Roman" w:cs="Times New Roman"/>
          <w:sz w:val="28"/>
          <w:szCs w:val="28"/>
        </w:rPr>
        <w:t>2</w:t>
      </w:r>
      <w:r w:rsidR="00BE52D2" w:rsidRPr="00220878">
        <w:rPr>
          <w:rFonts w:ascii="Times New Roman" w:hAnsi="Times New Roman" w:cs="Times New Roman"/>
          <w:sz w:val="28"/>
          <w:szCs w:val="28"/>
        </w:rPr>
        <w:t>7,4</w:t>
      </w:r>
      <w:r w:rsidRPr="0022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208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87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, индекс физического объема в сопоставимых ценах к уровню 20</w:t>
      </w:r>
      <w:r w:rsidR="00BE52D2" w:rsidRPr="00220878">
        <w:rPr>
          <w:rFonts w:ascii="Times New Roman" w:hAnsi="Times New Roman" w:cs="Times New Roman"/>
          <w:sz w:val="28"/>
          <w:szCs w:val="28"/>
        </w:rPr>
        <w:t>20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154CB" w:rsidRPr="00220878">
        <w:rPr>
          <w:rFonts w:ascii="Times New Roman" w:hAnsi="Times New Roman" w:cs="Times New Roman"/>
          <w:sz w:val="28"/>
          <w:szCs w:val="28"/>
        </w:rPr>
        <w:t>9</w:t>
      </w:r>
      <w:r w:rsidR="00BE52D2" w:rsidRPr="00220878">
        <w:rPr>
          <w:rFonts w:ascii="Times New Roman" w:hAnsi="Times New Roman" w:cs="Times New Roman"/>
          <w:sz w:val="28"/>
          <w:szCs w:val="28"/>
        </w:rPr>
        <w:t>2,5</w:t>
      </w:r>
      <w:r w:rsidRPr="00220878">
        <w:rPr>
          <w:rFonts w:ascii="Times New Roman" w:hAnsi="Times New Roman" w:cs="Times New Roman"/>
          <w:sz w:val="28"/>
          <w:szCs w:val="28"/>
        </w:rPr>
        <w:t>%. Это обусловлено снижением объемов производства молока и мяса в сельскохозяйственных предприятиях.</w:t>
      </w:r>
    </w:p>
    <w:p w:rsidR="00BA001C" w:rsidRPr="00220878" w:rsidRDefault="00BA001C" w:rsidP="00700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В 202</w:t>
      </w:r>
      <w:r w:rsidR="00BE52D2" w:rsidRPr="00220878">
        <w:rPr>
          <w:rFonts w:ascii="Times New Roman" w:hAnsi="Times New Roman" w:cs="Times New Roman"/>
          <w:sz w:val="28"/>
          <w:szCs w:val="28"/>
        </w:rPr>
        <w:t>2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году объем валовой продукции сократ</w:t>
      </w:r>
      <w:r w:rsidR="00BE52D2" w:rsidRPr="00220878">
        <w:rPr>
          <w:rFonts w:ascii="Times New Roman" w:hAnsi="Times New Roman" w:cs="Times New Roman"/>
          <w:sz w:val="28"/>
          <w:szCs w:val="28"/>
        </w:rPr>
        <w:t>и</w:t>
      </w:r>
      <w:r w:rsidRPr="0022087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BE52D2" w:rsidRPr="00220878">
        <w:rPr>
          <w:rFonts w:ascii="Times New Roman" w:hAnsi="Times New Roman" w:cs="Times New Roman"/>
          <w:sz w:val="28"/>
          <w:szCs w:val="28"/>
        </w:rPr>
        <w:t>4</w:t>
      </w:r>
      <w:r w:rsidRPr="00220878">
        <w:rPr>
          <w:rFonts w:ascii="Times New Roman" w:hAnsi="Times New Roman" w:cs="Times New Roman"/>
          <w:sz w:val="28"/>
          <w:szCs w:val="28"/>
        </w:rPr>
        <w:t>%</w:t>
      </w:r>
      <w:r w:rsidR="004B22C2" w:rsidRPr="00220878">
        <w:rPr>
          <w:rFonts w:ascii="Times New Roman" w:hAnsi="Times New Roman" w:cs="Times New Roman"/>
          <w:sz w:val="28"/>
          <w:szCs w:val="28"/>
        </w:rPr>
        <w:t xml:space="preserve">. Это обусловлено снижением производства зерна, вызванного сокращением посевных площадей под зерновые культуры, в связи с финансовыми трудностями в хозяйствах,  а также снижением площади под посадку картофеля. </w:t>
      </w:r>
    </w:p>
    <w:p w:rsidR="00700C0F" w:rsidRPr="00220878" w:rsidRDefault="00C53646" w:rsidP="009B7D9E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>В прогнозном периоде 202</w:t>
      </w:r>
      <w:r w:rsidR="00BE52D2" w:rsidRPr="00220878">
        <w:rPr>
          <w:color w:val="auto"/>
          <w:sz w:val="28"/>
          <w:szCs w:val="28"/>
        </w:rPr>
        <w:t>3</w:t>
      </w:r>
      <w:r w:rsidRPr="00220878">
        <w:rPr>
          <w:color w:val="auto"/>
          <w:sz w:val="28"/>
          <w:szCs w:val="28"/>
        </w:rPr>
        <w:t xml:space="preserve"> – 202</w:t>
      </w:r>
      <w:r w:rsidR="00BE52D2" w:rsidRPr="00220878">
        <w:rPr>
          <w:color w:val="auto"/>
          <w:sz w:val="28"/>
          <w:szCs w:val="28"/>
        </w:rPr>
        <w:t>5</w:t>
      </w:r>
      <w:r w:rsidRPr="00220878">
        <w:rPr>
          <w:color w:val="auto"/>
          <w:sz w:val="28"/>
          <w:szCs w:val="28"/>
        </w:rPr>
        <w:t xml:space="preserve"> годов будет </w:t>
      </w:r>
      <w:proofErr w:type="gramStart"/>
      <w:r w:rsidRPr="00220878">
        <w:rPr>
          <w:color w:val="auto"/>
          <w:sz w:val="28"/>
          <w:szCs w:val="28"/>
        </w:rPr>
        <w:t>определятся</w:t>
      </w:r>
      <w:proofErr w:type="gramEnd"/>
      <w:r w:rsidRPr="00220878">
        <w:rPr>
          <w:color w:val="auto"/>
          <w:sz w:val="28"/>
          <w:szCs w:val="28"/>
        </w:rPr>
        <w:t xml:space="preserve"> положительная динамика объема валовой продукции сельского хозяйства по всем двум вариантам. Увеличению объемов производства продукции сельского хозяйства будет способствовать государственная поддержка за счет </w:t>
      </w:r>
      <w:proofErr w:type="gramStart"/>
      <w:r w:rsidRPr="00220878">
        <w:rPr>
          <w:color w:val="auto"/>
          <w:sz w:val="28"/>
          <w:szCs w:val="28"/>
        </w:rPr>
        <w:t>реализации мероприятий Государственной программы развития сельского хозяйства</w:t>
      </w:r>
      <w:proofErr w:type="gramEnd"/>
      <w:r w:rsidRPr="00220878">
        <w:rPr>
          <w:color w:val="auto"/>
          <w:sz w:val="28"/>
          <w:szCs w:val="28"/>
        </w:rPr>
        <w:t xml:space="preserve">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а также реализация федерального проекта на период до 202</w:t>
      </w:r>
      <w:r w:rsidR="00BE52D2" w:rsidRPr="00220878">
        <w:rPr>
          <w:color w:val="auto"/>
          <w:sz w:val="28"/>
          <w:szCs w:val="28"/>
        </w:rPr>
        <w:t>5</w:t>
      </w:r>
      <w:r w:rsidRPr="00220878">
        <w:rPr>
          <w:color w:val="auto"/>
          <w:sz w:val="28"/>
          <w:szCs w:val="28"/>
        </w:rPr>
        <w:t xml:space="preserve"> года: «Создание системы поддержки фермеров и развитие сельской кооперации»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652509" w:rsidRPr="00220878" w:rsidRDefault="00652509" w:rsidP="009B7D9E">
      <w:pPr>
        <w:pStyle w:val="Default"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652509" w:rsidRPr="00220878" w:rsidRDefault="00652509" w:rsidP="00652509">
      <w:pPr>
        <w:pStyle w:val="Default"/>
        <w:spacing w:line="276" w:lineRule="auto"/>
        <w:ind w:firstLine="540"/>
        <w:jc w:val="center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>Подраздел IY. Потребительский рынок</w:t>
      </w:r>
    </w:p>
    <w:p w:rsidR="00C53646" w:rsidRPr="00220878" w:rsidRDefault="00C53646" w:rsidP="00C536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 xml:space="preserve">Потребительский рынок в </w:t>
      </w:r>
      <w:proofErr w:type="spellStart"/>
      <w:r w:rsidRPr="00220878">
        <w:rPr>
          <w:rFonts w:ascii="Times New Roman" w:hAnsi="Times New Roman"/>
          <w:sz w:val="28"/>
          <w:szCs w:val="28"/>
        </w:rPr>
        <w:t>Западнодвинском</w:t>
      </w:r>
      <w:proofErr w:type="spellEnd"/>
      <w:r w:rsidRPr="00220878">
        <w:rPr>
          <w:rFonts w:ascii="Times New Roman" w:hAnsi="Times New Roman"/>
          <w:sz w:val="28"/>
          <w:szCs w:val="28"/>
        </w:rPr>
        <w:t xml:space="preserve"> </w:t>
      </w:r>
      <w:r w:rsidR="001E20D7" w:rsidRPr="00220878">
        <w:rPr>
          <w:rFonts w:ascii="Times New Roman" w:hAnsi="Times New Roman"/>
          <w:sz w:val="28"/>
          <w:szCs w:val="28"/>
        </w:rPr>
        <w:t>муниципальном округе</w:t>
      </w:r>
      <w:r w:rsidRPr="00220878">
        <w:rPr>
          <w:rFonts w:ascii="Times New Roman" w:hAnsi="Times New Roman"/>
          <w:sz w:val="28"/>
          <w:szCs w:val="28"/>
        </w:rPr>
        <w:t xml:space="preserve"> характеризуется высоким уровнем товарной насыщенности и развитой сетью предприятий торговли. Анализ состояния розничной торговли показывает, что она является  динамично развивающейся отраслью экономики. </w:t>
      </w:r>
    </w:p>
    <w:p w:rsidR="00C53646" w:rsidRPr="00220878" w:rsidRDefault="00C53646" w:rsidP="00C5364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0878">
        <w:rPr>
          <w:rFonts w:ascii="Times New Roman" w:eastAsia="TimesNewRomanPSMT" w:hAnsi="Times New Roman" w:cs="Times New Roman"/>
          <w:sz w:val="28"/>
          <w:szCs w:val="28"/>
        </w:rPr>
        <w:t xml:space="preserve">         Структура торговой сети характеризуется преобладанием продовольственных магазинов и магазинов, реализующих смешанный ассортимент товаров.</w:t>
      </w:r>
    </w:p>
    <w:p w:rsidR="00C53646" w:rsidRPr="00220878" w:rsidRDefault="00C53646" w:rsidP="00C5364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населения </w:t>
      </w:r>
      <w:r w:rsidR="001E20D7" w:rsidRPr="0022087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 торговыми площадями на 1000 человек выше нормативного в два раза.</w:t>
      </w:r>
    </w:p>
    <w:p w:rsidR="00C53646" w:rsidRPr="00220878" w:rsidRDefault="00C53646" w:rsidP="00C5364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на территории Западнодвинского </w:t>
      </w:r>
      <w:r w:rsidR="001E20D7" w:rsidRPr="0022087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деятельность ряд сетевых объектов: три  магазина «Магнит», «Магнит - </w:t>
      </w:r>
      <w:proofErr w:type="spellStart"/>
      <w:r w:rsidRPr="00220878">
        <w:rPr>
          <w:rFonts w:ascii="Times New Roman" w:eastAsia="Times New Roman" w:hAnsi="Times New Roman" w:cs="Times New Roman"/>
          <w:sz w:val="28"/>
          <w:szCs w:val="28"/>
        </w:rPr>
        <w:t>косметик</w:t>
      </w:r>
      <w:proofErr w:type="spellEnd"/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725016" w:rsidRPr="0022087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 магазина «Пятерочка», «</w:t>
      </w:r>
      <w:r w:rsidR="002C15A3" w:rsidRPr="00220878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Pr="00220878">
        <w:rPr>
          <w:rFonts w:ascii="Times New Roman" w:eastAsia="Times New Roman" w:hAnsi="Times New Roman" w:cs="Times New Roman"/>
          <w:sz w:val="28"/>
          <w:szCs w:val="28"/>
        </w:rPr>
        <w:t>»,   два магазина «Бристоль»,  «</w:t>
      </w:r>
      <w:proofErr w:type="spellStart"/>
      <w:proofErr w:type="gramStart"/>
      <w:r w:rsidRPr="0022087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20D7" w:rsidRPr="00220878">
        <w:rPr>
          <w:rFonts w:ascii="Times New Roman" w:eastAsia="Times New Roman" w:hAnsi="Times New Roman" w:cs="Times New Roman"/>
          <w:sz w:val="28"/>
          <w:szCs w:val="28"/>
        </w:rPr>
        <w:t>расное</w:t>
      </w:r>
      <w:proofErr w:type="gramEnd"/>
      <w:r w:rsidR="001E20D7" w:rsidRPr="00220878">
        <w:rPr>
          <w:rFonts w:ascii="Times New Roman" w:eastAsia="Times New Roman" w:hAnsi="Times New Roman" w:cs="Times New Roman"/>
          <w:sz w:val="28"/>
          <w:szCs w:val="28"/>
        </w:rPr>
        <w:t>&amp;Белое</w:t>
      </w:r>
      <w:proofErr w:type="spellEnd"/>
      <w:r w:rsidR="001E20D7" w:rsidRPr="00220878">
        <w:rPr>
          <w:rFonts w:ascii="Times New Roman" w:eastAsia="Times New Roman" w:hAnsi="Times New Roman" w:cs="Times New Roman"/>
          <w:sz w:val="28"/>
          <w:szCs w:val="28"/>
        </w:rPr>
        <w:t>», «Тверской ларец», а также торговые объекты малого бизнеса.</w:t>
      </w:r>
    </w:p>
    <w:p w:rsidR="009966A7" w:rsidRPr="00220878" w:rsidRDefault="009966A7" w:rsidP="00996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На фоне сложившейся экономической ситуации в условиях перехода динамики реальных располагаемых денежных доходов населения от положительного значения в 2021 году в отрицательную область ожидается спад потребительской активности населения и снижение уровня потребительского кредитования. Планируется, что в 2022 году оборот розничной торговли снизится на </w:t>
      </w:r>
      <w:r w:rsidR="00041084" w:rsidRPr="00220878">
        <w:rPr>
          <w:rFonts w:ascii="Times New Roman" w:hAnsi="Times New Roman" w:cs="Times New Roman"/>
          <w:sz w:val="28"/>
          <w:szCs w:val="28"/>
        </w:rPr>
        <w:t>3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и составит 9</w:t>
      </w:r>
      <w:r w:rsidR="00041084" w:rsidRPr="00220878">
        <w:rPr>
          <w:rFonts w:ascii="Times New Roman" w:hAnsi="Times New Roman" w:cs="Times New Roman"/>
          <w:sz w:val="28"/>
          <w:szCs w:val="28"/>
        </w:rPr>
        <w:t>7,0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к уровню предыдущего года (в 2021 году зафиксировано </w:t>
      </w:r>
      <w:r w:rsidR="00041084" w:rsidRPr="00220878">
        <w:rPr>
          <w:rFonts w:ascii="Times New Roman" w:hAnsi="Times New Roman" w:cs="Times New Roman"/>
          <w:sz w:val="28"/>
          <w:szCs w:val="28"/>
        </w:rPr>
        <w:t>сниже</w:t>
      </w:r>
      <w:r w:rsidRPr="00220878">
        <w:rPr>
          <w:rFonts w:ascii="Times New Roman" w:hAnsi="Times New Roman" w:cs="Times New Roman"/>
          <w:sz w:val="28"/>
          <w:szCs w:val="28"/>
        </w:rPr>
        <w:t xml:space="preserve">ние на </w:t>
      </w:r>
      <w:r w:rsidR="00041084" w:rsidRPr="00220878">
        <w:rPr>
          <w:rFonts w:ascii="Times New Roman" w:hAnsi="Times New Roman" w:cs="Times New Roman"/>
          <w:sz w:val="28"/>
          <w:szCs w:val="28"/>
        </w:rPr>
        <w:t>3,5</w:t>
      </w:r>
      <w:r w:rsidRPr="00220878">
        <w:rPr>
          <w:rFonts w:ascii="Times New Roman" w:hAnsi="Times New Roman" w:cs="Times New Roman"/>
          <w:sz w:val="28"/>
          <w:szCs w:val="28"/>
        </w:rPr>
        <w:t xml:space="preserve"> %). К 2025 году планируется восстановление потребительского спроса и выход на докризисный уровень – оборот розничной торговли составит 101,</w:t>
      </w:r>
      <w:r w:rsidR="00041084" w:rsidRPr="00220878">
        <w:rPr>
          <w:rFonts w:ascii="Times New Roman" w:hAnsi="Times New Roman" w:cs="Times New Roman"/>
          <w:sz w:val="28"/>
          <w:szCs w:val="28"/>
        </w:rPr>
        <w:t>5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(по Тверской области также составит 103,8 %). В муниципальном округе продолжится открытие торговых объектов, ожидается дальнейшее развитие дистанционной торговли. Наряду с сетевыми торговыми предприятиями также развиваются объекты торговли малого и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, по-прежнему будут функционировать ярмарки выходного дня. </w:t>
      </w:r>
    </w:p>
    <w:p w:rsidR="009966A7" w:rsidRPr="00220878" w:rsidRDefault="009966A7" w:rsidP="009B7D9E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</w:p>
    <w:p w:rsidR="008B1D09" w:rsidRPr="00220878" w:rsidRDefault="008B1D09" w:rsidP="008B1D09">
      <w:pPr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208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Подраздел </w:t>
      </w:r>
      <w:r w:rsidR="00652509" w:rsidRPr="00220878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V</w:t>
      </w:r>
      <w:r w:rsidRPr="002208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. Малое и среднее предпринимательство, </w:t>
      </w:r>
    </w:p>
    <w:p w:rsidR="008B1D09" w:rsidRPr="00220878" w:rsidRDefault="008B1D09" w:rsidP="008B1D09">
      <w:pPr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208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включая </w:t>
      </w:r>
      <w:proofErr w:type="spellStart"/>
      <w:r w:rsidRPr="002208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микропредприятия</w:t>
      </w:r>
      <w:proofErr w:type="spellEnd"/>
    </w:p>
    <w:p w:rsidR="008B1D09" w:rsidRPr="00220878" w:rsidRDefault="008B1D09" w:rsidP="008B1D09">
      <w:pPr>
        <w:spacing w:after="0"/>
        <w:ind w:firstLine="709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8B1D09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5112079"/>
      <w:r w:rsidRPr="00220878">
        <w:rPr>
          <w:rFonts w:ascii="Times New Roman" w:hAnsi="Times New Roman" w:cs="Times New Roman"/>
          <w:sz w:val="28"/>
          <w:szCs w:val="28"/>
        </w:rPr>
        <w:t>На территории Западнодвинского муниципального округа осуществляет деятельность одно предприятие, которое относится к категории "средних".</w:t>
      </w:r>
    </w:p>
    <w:p w:rsidR="008B1D09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В 2022 году ожидается снижение (на </w:t>
      </w:r>
      <w:r w:rsidR="00F7566B" w:rsidRPr="00220878">
        <w:rPr>
          <w:rFonts w:ascii="Times New Roman" w:hAnsi="Times New Roman" w:cs="Times New Roman"/>
          <w:sz w:val="28"/>
          <w:szCs w:val="28"/>
        </w:rPr>
        <w:t>6,7</w:t>
      </w:r>
      <w:r w:rsidRPr="00220878">
        <w:rPr>
          <w:rFonts w:ascii="Times New Roman" w:hAnsi="Times New Roman" w:cs="Times New Roman"/>
          <w:sz w:val="28"/>
          <w:szCs w:val="28"/>
        </w:rPr>
        <w:t xml:space="preserve"> %) количества  малых предприятий, включая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6B" w:rsidRPr="00220878">
        <w:rPr>
          <w:rFonts w:ascii="Times New Roman" w:hAnsi="Times New Roman" w:cs="Times New Roman"/>
          <w:sz w:val="28"/>
          <w:szCs w:val="28"/>
        </w:rPr>
        <w:t>микро</w:t>
      </w:r>
      <w:r w:rsidRPr="00220878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,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 xml:space="preserve">до </w:t>
      </w:r>
      <w:r w:rsidR="00F7566B" w:rsidRPr="00220878">
        <w:rPr>
          <w:rFonts w:ascii="Times New Roman" w:hAnsi="Times New Roman" w:cs="Times New Roman"/>
          <w:sz w:val="28"/>
          <w:szCs w:val="28"/>
        </w:rPr>
        <w:t>70</w:t>
      </w:r>
      <w:r w:rsidRPr="00220878">
        <w:rPr>
          <w:rFonts w:ascii="Times New Roman" w:hAnsi="Times New Roman" w:cs="Times New Roman"/>
          <w:sz w:val="28"/>
          <w:szCs w:val="28"/>
        </w:rPr>
        <w:t xml:space="preserve"> единиц. На снижение количества малых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, повлияло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7566B" w:rsidRPr="00220878">
        <w:rPr>
          <w:rFonts w:ascii="Times New Roman" w:hAnsi="Times New Roman" w:cs="Times New Roman"/>
          <w:sz w:val="28"/>
          <w:szCs w:val="28"/>
        </w:rPr>
        <w:t>е</w:t>
      </w:r>
      <w:r w:rsidRPr="0022087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отдельных предприятий</w:t>
      </w:r>
      <w:r w:rsidRPr="00220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66B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В прогнозируемом периоде увеличения числа малых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, не планируется. </w:t>
      </w:r>
    </w:p>
    <w:p w:rsidR="008B1D09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78">
        <w:rPr>
          <w:rFonts w:ascii="Times New Roman" w:hAnsi="Times New Roman" w:cs="Times New Roman"/>
          <w:sz w:val="28"/>
          <w:szCs w:val="28"/>
        </w:rPr>
        <w:t>Ожидается, что к концу 2025 года их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ч</w:t>
      </w:r>
      <w:r w:rsidRPr="00220878">
        <w:rPr>
          <w:rFonts w:ascii="Times New Roman" w:hAnsi="Times New Roman" w:cs="Times New Roman"/>
          <w:sz w:val="28"/>
          <w:szCs w:val="28"/>
        </w:rPr>
        <w:t xml:space="preserve">исло составит </w:t>
      </w:r>
      <w:r w:rsidR="00F7566B" w:rsidRPr="00220878">
        <w:rPr>
          <w:rFonts w:ascii="Times New Roman" w:hAnsi="Times New Roman" w:cs="Times New Roman"/>
          <w:sz w:val="28"/>
          <w:szCs w:val="28"/>
        </w:rPr>
        <w:t>69</w:t>
      </w:r>
      <w:r w:rsidRPr="00220878">
        <w:rPr>
          <w:rFonts w:ascii="Times New Roman" w:hAnsi="Times New Roman" w:cs="Times New Roman"/>
          <w:sz w:val="28"/>
          <w:szCs w:val="28"/>
        </w:rPr>
        <w:t xml:space="preserve"> – </w:t>
      </w:r>
      <w:r w:rsidR="00F7566B" w:rsidRPr="00220878">
        <w:rPr>
          <w:rFonts w:ascii="Times New Roman" w:hAnsi="Times New Roman" w:cs="Times New Roman"/>
          <w:sz w:val="28"/>
          <w:szCs w:val="28"/>
        </w:rPr>
        <w:t>70</w:t>
      </w:r>
      <w:r w:rsidRPr="00220878">
        <w:rPr>
          <w:rFonts w:ascii="Times New Roman" w:hAnsi="Times New Roman" w:cs="Times New Roman"/>
          <w:sz w:val="28"/>
          <w:szCs w:val="28"/>
        </w:rPr>
        <w:t xml:space="preserve"> единиц </w:t>
      </w:r>
      <w:r w:rsidRPr="00220878">
        <w:rPr>
          <w:rFonts w:ascii="Times New Roman" w:hAnsi="Times New Roman" w:cs="Times New Roman"/>
          <w:sz w:val="28"/>
          <w:szCs w:val="28"/>
        </w:rPr>
        <w:br/>
        <w:t>по консервативному и базовому вариантам прогноза и будет сопоставим с уровнем 202</w:t>
      </w:r>
      <w:r w:rsidR="00F7566B" w:rsidRPr="00220878">
        <w:rPr>
          <w:rFonts w:ascii="Times New Roman" w:hAnsi="Times New Roman" w:cs="Times New Roman"/>
          <w:sz w:val="28"/>
          <w:szCs w:val="28"/>
        </w:rPr>
        <w:t>2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0"/>
      <w:proofErr w:type="gramEnd"/>
    </w:p>
    <w:p w:rsidR="00F7566B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112391"/>
      <w:r w:rsidRPr="00220878">
        <w:rPr>
          <w:rFonts w:ascii="Times New Roman" w:hAnsi="Times New Roman" w:cs="Times New Roman"/>
          <w:sz w:val="28"/>
          <w:szCs w:val="28"/>
        </w:rPr>
        <w:t xml:space="preserve">В 2022 году среднесписочная численность работников, занятых на </w:t>
      </w:r>
      <w:r w:rsidR="00F7566B" w:rsidRPr="00220878">
        <w:rPr>
          <w:rFonts w:ascii="Times New Roman" w:hAnsi="Times New Roman" w:cs="Times New Roman"/>
          <w:sz w:val="28"/>
          <w:szCs w:val="28"/>
        </w:rPr>
        <w:t>средних,</w:t>
      </w:r>
      <w:r w:rsidRPr="00220878">
        <w:rPr>
          <w:rFonts w:ascii="Times New Roman" w:hAnsi="Times New Roman" w:cs="Times New Roman"/>
          <w:sz w:val="28"/>
          <w:szCs w:val="28"/>
        </w:rPr>
        <w:t xml:space="preserve"> малых предприятиях,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, оценивается в </w:t>
      </w:r>
      <w:r w:rsidR="00F7566B" w:rsidRPr="00220878">
        <w:rPr>
          <w:rFonts w:ascii="Times New Roman" w:hAnsi="Times New Roman" w:cs="Times New Roman"/>
          <w:sz w:val="28"/>
          <w:szCs w:val="28"/>
        </w:rPr>
        <w:t>1,24 тыс.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человек, или 98,</w:t>
      </w:r>
      <w:r w:rsidR="00F7566B" w:rsidRPr="00220878">
        <w:rPr>
          <w:rFonts w:ascii="Times New Roman" w:hAnsi="Times New Roman" w:cs="Times New Roman"/>
          <w:sz w:val="28"/>
          <w:szCs w:val="28"/>
        </w:rPr>
        <w:t>9</w:t>
      </w:r>
      <w:r w:rsidRPr="00220878">
        <w:rPr>
          <w:rFonts w:ascii="Times New Roman" w:hAnsi="Times New Roman" w:cs="Times New Roman"/>
          <w:sz w:val="28"/>
          <w:szCs w:val="28"/>
        </w:rPr>
        <w:t> % к уровню 2021 года. Оценка показателя осуществлялась с учетом фактически сложившейся численности работников в январе-</w:t>
      </w:r>
      <w:r w:rsidR="00F7566B" w:rsidRPr="00220878">
        <w:rPr>
          <w:rFonts w:ascii="Times New Roman" w:hAnsi="Times New Roman" w:cs="Times New Roman"/>
          <w:sz w:val="28"/>
          <w:szCs w:val="28"/>
        </w:rPr>
        <w:t>авгус</w:t>
      </w:r>
      <w:r w:rsidRPr="00220878">
        <w:rPr>
          <w:rFonts w:ascii="Times New Roman" w:hAnsi="Times New Roman" w:cs="Times New Roman"/>
          <w:sz w:val="28"/>
          <w:szCs w:val="28"/>
        </w:rPr>
        <w:t xml:space="preserve">те текущего года. 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1D09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Из общей среднесписочной численности работников средних и малых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, наибольшее число занято на предприятиях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обрабатывающих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производств</w:t>
      </w:r>
      <w:r w:rsidR="00F7566B" w:rsidRPr="00220878">
        <w:rPr>
          <w:rFonts w:ascii="Times New Roman" w:hAnsi="Times New Roman" w:cs="Times New Roman"/>
          <w:sz w:val="28"/>
          <w:szCs w:val="28"/>
        </w:rPr>
        <w:t>,</w:t>
      </w:r>
      <w:r w:rsidRPr="00220878">
        <w:rPr>
          <w:rFonts w:ascii="Times New Roman" w:hAnsi="Times New Roman" w:cs="Times New Roman"/>
          <w:sz w:val="28"/>
          <w:szCs w:val="28"/>
        </w:rPr>
        <w:t xml:space="preserve"> осуществляющих торговлю </w:t>
      </w:r>
      <w:r w:rsidRPr="00220878">
        <w:rPr>
          <w:rFonts w:ascii="Times New Roman" w:hAnsi="Times New Roman" w:cs="Times New Roman"/>
          <w:sz w:val="28"/>
          <w:szCs w:val="28"/>
        </w:rPr>
        <w:lastRenderedPageBreak/>
        <w:t>оптовую и розничную, ремонт автотранспортных средств и мотоциклов, на предприятиях, осуществляющих деятельность по тра</w:t>
      </w:r>
      <w:r w:rsidR="00F7566B" w:rsidRPr="00220878">
        <w:rPr>
          <w:rFonts w:ascii="Times New Roman" w:hAnsi="Times New Roman" w:cs="Times New Roman"/>
          <w:sz w:val="28"/>
          <w:szCs w:val="28"/>
        </w:rPr>
        <w:t>нспортировке и хранению</w:t>
      </w:r>
      <w:r w:rsidRPr="00220878">
        <w:rPr>
          <w:rFonts w:ascii="Times New Roman" w:hAnsi="Times New Roman" w:cs="Times New Roman"/>
          <w:sz w:val="28"/>
          <w:szCs w:val="28"/>
        </w:rPr>
        <w:t>.</w:t>
      </w:r>
    </w:p>
    <w:p w:rsidR="00F7566B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В прогнозируемом периоде численность работников малых и средних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, будет определяться </w:t>
      </w:r>
      <w:r w:rsidR="00F7566B" w:rsidRPr="00220878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9E458E" w:rsidRPr="00220878">
        <w:rPr>
          <w:rFonts w:ascii="Times New Roman" w:hAnsi="Times New Roman" w:cs="Times New Roman"/>
          <w:sz w:val="28"/>
          <w:szCs w:val="28"/>
        </w:rPr>
        <w:t xml:space="preserve"> демографической ситуации, а именно сокращения общей численности населения.</w:t>
      </w:r>
    </w:p>
    <w:p w:rsidR="008B1D09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878">
        <w:rPr>
          <w:rFonts w:ascii="Times New Roman" w:hAnsi="Times New Roman" w:cs="Times New Roman"/>
          <w:sz w:val="28"/>
          <w:szCs w:val="28"/>
        </w:rPr>
        <w:t xml:space="preserve">К концу 2025 года численность работников малых и средних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, прогнозируется в количестве </w:t>
      </w:r>
      <w:r w:rsidR="009E458E" w:rsidRPr="00220878">
        <w:rPr>
          <w:rFonts w:ascii="Times New Roman" w:hAnsi="Times New Roman" w:cs="Times New Roman"/>
          <w:sz w:val="28"/>
          <w:szCs w:val="28"/>
        </w:rPr>
        <w:t>1,200</w:t>
      </w:r>
      <w:r w:rsidRPr="00220878">
        <w:rPr>
          <w:rFonts w:ascii="Times New Roman" w:hAnsi="Times New Roman" w:cs="Times New Roman"/>
          <w:sz w:val="28"/>
          <w:szCs w:val="28"/>
        </w:rPr>
        <w:t xml:space="preserve"> – 1</w:t>
      </w:r>
      <w:r w:rsidR="009E458E" w:rsidRPr="00220878">
        <w:rPr>
          <w:rFonts w:ascii="Times New Roman" w:hAnsi="Times New Roman" w:cs="Times New Roman"/>
          <w:sz w:val="28"/>
          <w:szCs w:val="28"/>
        </w:rPr>
        <w:t>,</w:t>
      </w:r>
      <w:r w:rsidRPr="00220878">
        <w:rPr>
          <w:rFonts w:ascii="Times New Roman" w:hAnsi="Times New Roman" w:cs="Times New Roman"/>
          <w:sz w:val="28"/>
          <w:szCs w:val="28"/>
        </w:rPr>
        <w:t>2</w:t>
      </w:r>
      <w:r w:rsidR="009E458E" w:rsidRPr="00220878">
        <w:rPr>
          <w:rFonts w:ascii="Times New Roman" w:hAnsi="Times New Roman" w:cs="Times New Roman"/>
          <w:sz w:val="28"/>
          <w:szCs w:val="28"/>
        </w:rPr>
        <w:t>10</w:t>
      </w:r>
      <w:r w:rsidRPr="00220878">
        <w:rPr>
          <w:rFonts w:ascii="Times New Roman" w:hAnsi="Times New Roman" w:cs="Times New Roman"/>
          <w:sz w:val="28"/>
          <w:szCs w:val="28"/>
        </w:rPr>
        <w:t xml:space="preserve"> тыс. человек по консервативному и базовому вариантам прогноза.</w:t>
      </w:r>
      <w:proofErr w:type="gramEnd"/>
      <w:r w:rsidRPr="00220878">
        <w:rPr>
          <w:rFonts w:ascii="Times New Roman" w:hAnsi="Times New Roman" w:cs="Times New Roman"/>
          <w:sz w:val="28"/>
          <w:szCs w:val="28"/>
        </w:rPr>
        <w:t xml:space="preserve"> При этом структура распределения работников по видам экономической деятельности, занятых на средних и малых предприятиях,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, значительно не изменится.</w:t>
      </w:r>
      <w:bookmarkEnd w:id="1"/>
    </w:p>
    <w:p w:rsidR="008B1D09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В 2022 году оборот малых и средних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, оценивается в </w:t>
      </w:r>
      <w:r w:rsidR="009E458E" w:rsidRPr="00220878">
        <w:rPr>
          <w:rFonts w:ascii="Times New Roman" w:hAnsi="Times New Roman" w:cs="Times New Roman"/>
          <w:sz w:val="28"/>
          <w:szCs w:val="28"/>
        </w:rPr>
        <w:t>1,3 млрд.</w:t>
      </w:r>
      <w:r w:rsidRPr="00220878">
        <w:rPr>
          <w:rFonts w:ascii="Times New Roman" w:hAnsi="Times New Roman" w:cs="Times New Roman"/>
          <w:sz w:val="28"/>
          <w:szCs w:val="28"/>
        </w:rPr>
        <w:t xml:space="preserve"> рублей, или 1</w:t>
      </w:r>
      <w:r w:rsidR="009E458E" w:rsidRPr="00220878">
        <w:rPr>
          <w:rFonts w:ascii="Times New Roman" w:hAnsi="Times New Roman" w:cs="Times New Roman"/>
          <w:sz w:val="28"/>
          <w:szCs w:val="28"/>
        </w:rPr>
        <w:t>08,1</w:t>
      </w:r>
      <w:r w:rsidRPr="00220878">
        <w:rPr>
          <w:rFonts w:ascii="Times New Roman" w:hAnsi="Times New Roman" w:cs="Times New Roman"/>
          <w:sz w:val="28"/>
          <w:szCs w:val="28"/>
        </w:rPr>
        <w:t xml:space="preserve"> % к уровню 2021 года. Увеличение оборота малых и средних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, относительно 2021 года объясняется имевшим место в 2022 году ростом цен на товары и услуги, связанным с инфляционными процессами в экономике. </w:t>
      </w:r>
    </w:p>
    <w:p w:rsidR="008B1D09" w:rsidRPr="00220878" w:rsidRDefault="008B1D09" w:rsidP="008B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В прогнозируемом периоде до 2025 года планируется ежегодный прирост оборота средних и малых предприятий, включая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>, в пределах 4,</w:t>
      </w:r>
      <w:r w:rsidR="00652509" w:rsidRPr="00220878">
        <w:rPr>
          <w:rFonts w:ascii="Times New Roman" w:hAnsi="Times New Roman" w:cs="Times New Roman"/>
          <w:sz w:val="28"/>
          <w:szCs w:val="28"/>
        </w:rPr>
        <w:t>6</w:t>
      </w:r>
      <w:r w:rsidRPr="00220878">
        <w:rPr>
          <w:rFonts w:ascii="Times New Roman" w:hAnsi="Times New Roman" w:cs="Times New Roman"/>
          <w:sz w:val="28"/>
          <w:szCs w:val="28"/>
        </w:rPr>
        <w:t xml:space="preserve"> – 5,4 %, который будет обеспечен по всем видам экономической деятельности.</w:t>
      </w:r>
    </w:p>
    <w:p w:rsidR="00BC7201" w:rsidRPr="00220878" w:rsidRDefault="00BC7201" w:rsidP="008B1D09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</w:p>
    <w:p w:rsidR="00227E3C" w:rsidRPr="00220878" w:rsidRDefault="00F05F27" w:rsidP="00F05F27">
      <w:pPr>
        <w:pStyle w:val="Default"/>
        <w:spacing w:line="276" w:lineRule="auto"/>
        <w:ind w:firstLine="540"/>
        <w:jc w:val="center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 xml:space="preserve">Подраздел </w:t>
      </w:r>
      <w:r w:rsidR="00652509" w:rsidRPr="00220878">
        <w:rPr>
          <w:color w:val="auto"/>
          <w:sz w:val="28"/>
          <w:szCs w:val="28"/>
          <w:lang w:val="en-US"/>
        </w:rPr>
        <w:t>V</w:t>
      </w:r>
      <w:r w:rsidRPr="00220878">
        <w:rPr>
          <w:color w:val="auto"/>
          <w:sz w:val="28"/>
          <w:szCs w:val="28"/>
          <w:lang w:val="en-US"/>
        </w:rPr>
        <w:t>I</w:t>
      </w:r>
      <w:r w:rsidRPr="00220878">
        <w:rPr>
          <w:color w:val="auto"/>
          <w:sz w:val="28"/>
          <w:szCs w:val="28"/>
        </w:rPr>
        <w:t xml:space="preserve">. </w:t>
      </w:r>
      <w:r w:rsidR="00E71C6E" w:rsidRPr="00220878">
        <w:rPr>
          <w:color w:val="auto"/>
          <w:sz w:val="28"/>
          <w:szCs w:val="28"/>
        </w:rPr>
        <w:t>Жилищное с</w:t>
      </w:r>
      <w:r w:rsidR="00227E3C" w:rsidRPr="00220878">
        <w:rPr>
          <w:color w:val="auto"/>
          <w:sz w:val="28"/>
          <w:szCs w:val="28"/>
        </w:rPr>
        <w:t>троительство</w:t>
      </w:r>
    </w:p>
    <w:p w:rsidR="00227E3C" w:rsidRPr="00220878" w:rsidRDefault="00227E3C" w:rsidP="00227E3C">
      <w:pPr>
        <w:pStyle w:val="a8"/>
        <w:ind w:left="0" w:firstLine="709"/>
        <w:jc w:val="both"/>
        <w:rPr>
          <w:sz w:val="28"/>
          <w:szCs w:val="28"/>
        </w:rPr>
      </w:pPr>
    </w:p>
    <w:p w:rsidR="00227E3C" w:rsidRPr="00220878" w:rsidRDefault="00227E3C" w:rsidP="00227E3C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220878">
        <w:rPr>
          <w:sz w:val="28"/>
          <w:szCs w:val="28"/>
        </w:rPr>
        <w:t>На территории Западнодвинского муниципального округа строительство жилья осуществляется индивидуальными застройщиками, т.е. населением за  счет</w:t>
      </w:r>
      <w:r w:rsidR="003D4053" w:rsidRPr="00220878">
        <w:rPr>
          <w:sz w:val="28"/>
          <w:szCs w:val="28"/>
        </w:rPr>
        <w:t xml:space="preserve"> собственных или заемных средств</w:t>
      </w:r>
      <w:r w:rsidRPr="00220878">
        <w:rPr>
          <w:sz w:val="28"/>
          <w:szCs w:val="28"/>
        </w:rPr>
        <w:t>.</w:t>
      </w:r>
    </w:p>
    <w:p w:rsidR="00227E3C" w:rsidRPr="00220878" w:rsidRDefault="00227E3C" w:rsidP="00227E3C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220878">
        <w:rPr>
          <w:sz w:val="28"/>
          <w:szCs w:val="28"/>
        </w:rPr>
        <w:t xml:space="preserve">В 2022 году объем ввода в эксплуатацию жилых домов индивидуальными застройщиками оценивается в 3,0 тыс. кв. метров или 89,5 % к уровню 2021 года. </w:t>
      </w:r>
    </w:p>
    <w:p w:rsidR="003D4053" w:rsidRPr="00220878" w:rsidRDefault="00227E3C" w:rsidP="00227E3C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220878">
        <w:rPr>
          <w:sz w:val="28"/>
          <w:szCs w:val="28"/>
        </w:rPr>
        <w:t>В прогнозном периоде 2023 – 2025 годы динамика показателя будет определяться</w:t>
      </w:r>
      <w:r w:rsidR="003D4053" w:rsidRPr="00220878">
        <w:rPr>
          <w:sz w:val="28"/>
          <w:szCs w:val="28"/>
        </w:rPr>
        <w:t xml:space="preserve"> снижением объема ввода жилья, ввиду снижения уровня доходности и платежеспособности населения.</w:t>
      </w:r>
    </w:p>
    <w:p w:rsidR="00227E3C" w:rsidRPr="00220878" w:rsidRDefault="00227E3C" w:rsidP="00227E3C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220878">
        <w:rPr>
          <w:sz w:val="28"/>
          <w:szCs w:val="28"/>
        </w:rPr>
        <w:t xml:space="preserve">Ожидается, что в 2025 году показатель по вводу жилья достигнет значения – </w:t>
      </w:r>
      <w:r w:rsidR="003D4053" w:rsidRPr="00220878">
        <w:rPr>
          <w:sz w:val="28"/>
          <w:szCs w:val="28"/>
        </w:rPr>
        <w:t>2</w:t>
      </w:r>
      <w:r w:rsidRPr="00220878">
        <w:rPr>
          <w:sz w:val="28"/>
          <w:szCs w:val="28"/>
        </w:rPr>
        <w:t>,7 тыс. кв. метров или 9</w:t>
      </w:r>
      <w:r w:rsidR="003D4053" w:rsidRPr="00220878">
        <w:rPr>
          <w:sz w:val="28"/>
          <w:szCs w:val="28"/>
        </w:rPr>
        <w:t>0</w:t>
      </w:r>
      <w:r w:rsidRPr="00220878">
        <w:rPr>
          <w:sz w:val="28"/>
          <w:szCs w:val="28"/>
        </w:rPr>
        <w:t xml:space="preserve"> % к уровню 2022 года. </w:t>
      </w:r>
    </w:p>
    <w:p w:rsidR="00227E3C" w:rsidRPr="00220878" w:rsidRDefault="00227E3C" w:rsidP="00227E3C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</w:p>
    <w:p w:rsidR="00C53646" w:rsidRPr="00220878" w:rsidRDefault="00227E3C" w:rsidP="00F05F27">
      <w:pPr>
        <w:pStyle w:val="Default"/>
        <w:spacing w:line="276" w:lineRule="auto"/>
        <w:ind w:firstLine="540"/>
        <w:jc w:val="center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>Подраздел</w:t>
      </w: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20878">
        <w:rPr>
          <w:rFonts w:eastAsiaTheme="minorHAnsi"/>
          <w:color w:val="auto"/>
          <w:sz w:val="28"/>
          <w:szCs w:val="28"/>
          <w:lang w:val="en-US" w:eastAsia="en-US"/>
        </w:rPr>
        <w:t>VII</w:t>
      </w: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F05F27" w:rsidRPr="00220878">
        <w:rPr>
          <w:color w:val="auto"/>
          <w:sz w:val="28"/>
          <w:szCs w:val="28"/>
        </w:rPr>
        <w:t>Инвестиции</w:t>
      </w:r>
    </w:p>
    <w:p w:rsidR="004B2EC7" w:rsidRPr="00220878" w:rsidRDefault="00F05F27" w:rsidP="00F05F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20878">
        <w:rPr>
          <w:rFonts w:ascii="Times New Roman" w:hAnsi="Times New Roman"/>
          <w:sz w:val="28"/>
          <w:szCs w:val="28"/>
        </w:rPr>
        <w:t>По оценке 202</w:t>
      </w:r>
      <w:r w:rsidR="00FE06C0" w:rsidRPr="00220878">
        <w:rPr>
          <w:rFonts w:ascii="Times New Roman" w:hAnsi="Times New Roman"/>
          <w:sz w:val="28"/>
          <w:szCs w:val="28"/>
        </w:rPr>
        <w:t>2</w:t>
      </w:r>
      <w:r w:rsidRPr="00220878">
        <w:rPr>
          <w:rFonts w:ascii="Times New Roman" w:hAnsi="Times New Roman"/>
          <w:sz w:val="28"/>
          <w:szCs w:val="28"/>
        </w:rPr>
        <w:t xml:space="preserve"> года объем инвестиций в основной капитал  ожидается в объеме </w:t>
      </w:r>
      <w:r w:rsidR="00541472" w:rsidRPr="00220878">
        <w:rPr>
          <w:rFonts w:ascii="Times New Roman" w:hAnsi="Times New Roman"/>
          <w:sz w:val="28"/>
          <w:szCs w:val="28"/>
        </w:rPr>
        <w:t>2</w:t>
      </w:r>
      <w:r w:rsidR="000E73D8" w:rsidRPr="00220878">
        <w:rPr>
          <w:rFonts w:ascii="Times New Roman" w:hAnsi="Times New Roman"/>
          <w:sz w:val="28"/>
          <w:szCs w:val="28"/>
        </w:rPr>
        <w:t>8</w:t>
      </w:r>
      <w:r w:rsidR="004B2EC7" w:rsidRPr="00220878">
        <w:rPr>
          <w:rFonts w:ascii="Times New Roman" w:hAnsi="Times New Roman"/>
          <w:sz w:val="28"/>
          <w:szCs w:val="28"/>
        </w:rPr>
        <w:t>,</w:t>
      </w:r>
      <w:r w:rsidR="000E73D8" w:rsidRPr="00220878">
        <w:rPr>
          <w:rFonts w:ascii="Times New Roman" w:hAnsi="Times New Roman"/>
          <w:sz w:val="28"/>
          <w:szCs w:val="28"/>
        </w:rPr>
        <w:t>5</w:t>
      </w:r>
      <w:r w:rsidRPr="0022087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220878">
        <w:rPr>
          <w:rFonts w:ascii="Times New Roman" w:hAnsi="Times New Roman"/>
          <w:sz w:val="28"/>
          <w:szCs w:val="28"/>
        </w:rPr>
        <w:t>.р</w:t>
      </w:r>
      <w:proofErr w:type="gramEnd"/>
      <w:r w:rsidRPr="00220878">
        <w:rPr>
          <w:rFonts w:ascii="Times New Roman" w:hAnsi="Times New Roman"/>
          <w:sz w:val="28"/>
          <w:szCs w:val="28"/>
        </w:rPr>
        <w:t xml:space="preserve">ублей при индексе физического объема – </w:t>
      </w:r>
      <w:r w:rsidR="000E73D8" w:rsidRPr="00220878">
        <w:rPr>
          <w:rFonts w:ascii="Times New Roman" w:hAnsi="Times New Roman"/>
          <w:sz w:val="28"/>
          <w:szCs w:val="28"/>
        </w:rPr>
        <w:t>5</w:t>
      </w:r>
      <w:r w:rsidR="004B2EC7" w:rsidRPr="00220878">
        <w:rPr>
          <w:rFonts w:ascii="Times New Roman" w:hAnsi="Times New Roman"/>
          <w:sz w:val="28"/>
          <w:szCs w:val="28"/>
        </w:rPr>
        <w:t>4</w:t>
      </w:r>
      <w:r w:rsidR="000E73D8" w:rsidRPr="00220878">
        <w:rPr>
          <w:rFonts w:ascii="Times New Roman" w:hAnsi="Times New Roman"/>
          <w:sz w:val="28"/>
          <w:szCs w:val="28"/>
        </w:rPr>
        <w:t>,3</w:t>
      </w:r>
      <w:r w:rsidRPr="00220878">
        <w:rPr>
          <w:rFonts w:ascii="Times New Roman" w:hAnsi="Times New Roman"/>
          <w:sz w:val="28"/>
          <w:szCs w:val="28"/>
        </w:rPr>
        <w:t>% к уровню 20</w:t>
      </w:r>
      <w:r w:rsidR="00541472" w:rsidRPr="00220878">
        <w:rPr>
          <w:rFonts w:ascii="Times New Roman" w:hAnsi="Times New Roman"/>
          <w:sz w:val="28"/>
          <w:szCs w:val="28"/>
        </w:rPr>
        <w:t>2</w:t>
      </w:r>
      <w:r w:rsidR="00FE06C0" w:rsidRPr="00220878">
        <w:rPr>
          <w:rFonts w:ascii="Times New Roman" w:hAnsi="Times New Roman"/>
          <w:sz w:val="28"/>
          <w:szCs w:val="28"/>
        </w:rPr>
        <w:t>1</w:t>
      </w:r>
      <w:r w:rsidRPr="00220878">
        <w:rPr>
          <w:rFonts w:ascii="Times New Roman" w:hAnsi="Times New Roman"/>
          <w:sz w:val="28"/>
          <w:szCs w:val="28"/>
        </w:rPr>
        <w:t xml:space="preserve"> года в сопоставимых ценах.  Снижение к уровню 20</w:t>
      </w:r>
      <w:r w:rsidR="00541472" w:rsidRPr="00220878">
        <w:rPr>
          <w:rFonts w:ascii="Times New Roman" w:hAnsi="Times New Roman"/>
          <w:sz w:val="28"/>
          <w:szCs w:val="28"/>
        </w:rPr>
        <w:t>2</w:t>
      </w:r>
      <w:r w:rsidR="004B2EC7" w:rsidRPr="00220878">
        <w:rPr>
          <w:rFonts w:ascii="Times New Roman" w:hAnsi="Times New Roman"/>
          <w:sz w:val="28"/>
          <w:szCs w:val="28"/>
        </w:rPr>
        <w:t>1</w:t>
      </w:r>
      <w:r w:rsidRPr="00220878">
        <w:rPr>
          <w:rFonts w:ascii="Times New Roman" w:hAnsi="Times New Roman"/>
          <w:sz w:val="28"/>
          <w:szCs w:val="28"/>
        </w:rPr>
        <w:t xml:space="preserve"> года обусловлено сокращением инвестиционных вложений по видам</w:t>
      </w:r>
      <w:r w:rsidR="00FD4D2E" w:rsidRPr="00220878">
        <w:rPr>
          <w:rFonts w:ascii="Times New Roman" w:hAnsi="Times New Roman"/>
          <w:sz w:val="28"/>
          <w:szCs w:val="28"/>
        </w:rPr>
        <w:t xml:space="preserve"> экономической</w:t>
      </w:r>
      <w:r w:rsidRPr="00220878">
        <w:rPr>
          <w:rFonts w:ascii="Times New Roman" w:hAnsi="Times New Roman"/>
          <w:sz w:val="28"/>
          <w:szCs w:val="28"/>
        </w:rPr>
        <w:t xml:space="preserve"> деятельности: «Обеспечение электрической энергией, газом  и паром; </w:t>
      </w:r>
      <w:r w:rsidRPr="00220878">
        <w:rPr>
          <w:rFonts w:ascii="Times New Roman" w:hAnsi="Times New Roman"/>
          <w:sz w:val="28"/>
          <w:szCs w:val="28"/>
        </w:rPr>
        <w:lastRenderedPageBreak/>
        <w:t>кондиционирование воздуха», «Торговля оптовая и розничная; ремонт автотранспортных средств и мотоциклов»</w:t>
      </w:r>
      <w:r w:rsidR="004B2EC7" w:rsidRPr="00220878">
        <w:rPr>
          <w:rFonts w:ascii="Times New Roman" w:hAnsi="Times New Roman"/>
          <w:sz w:val="28"/>
          <w:szCs w:val="28"/>
        </w:rPr>
        <w:t>, "Образование"</w:t>
      </w:r>
      <w:r w:rsidRPr="00220878">
        <w:rPr>
          <w:rFonts w:ascii="Times New Roman" w:hAnsi="Times New Roman"/>
          <w:sz w:val="28"/>
          <w:szCs w:val="28"/>
        </w:rPr>
        <w:t>.</w:t>
      </w:r>
    </w:p>
    <w:p w:rsidR="002D3D8A" w:rsidRPr="00220878" w:rsidRDefault="004B2EC7" w:rsidP="002D3D8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878">
        <w:rPr>
          <w:rFonts w:ascii="Times New Roman" w:hAnsi="Times New Roman" w:cs="Times New Roman"/>
          <w:bCs/>
          <w:sz w:val="28"/>
          <w:szCs w:val="28"/>
        </w:rPr>
        <w:t>При этом в 2022 году отмечается рост инвестиционных вложений по видам экономической деятельности: "</w:t>
      </w:r>
      <w:r w:rsidR="008A4964" w:rsidRPr="00220878">
        <w:rPr>
          <w:rFonts w:ascii="Times New Roman" w:hAnsi="Times New Roman" w:cs="Times New Roman"/>
          <w:bCs/>
          <w:sz w:val="28"/>
          <w:szCs w:val="28"/>
        </w:rPr>
        <w:t xml:space="preserve">Транспортировка и хранение", </w:t>
      </w:r>
      <w:r w:rsidR="008A4964" w:rsidRPr="00220878">
        <w:rPr>
          <w:rFonts w:ascii="Times New Roman" w:hAnsi="Times New Roman" w:cs="Times New Roman"/>
          <w:sz w:val="28"/>
          <w:szCs w:val="28"/>
        </w:rPr>
        <w:t>«Государственное управление и обеспечение военной безопасности; социальное обеспечение»</w:t>
      </w:r>
      <w:r w:rsidR="008A4964" w:rsidRPr="002208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0878">
        <w:rPr>
          <w:rFonts w:ascii="Times New Roman" w:hAnsi="Times New Roman" w:cs="Times New Roman"/>
          <w:bCs/>
          <w:sz w:val="28"/>
          <w:szCs w:val="28"/>
        </w:rPr>
        <w:t xml:space="preserve"> «Деятельность в области здравоохранения и социальных услуг»</w:t>
      </w:r>
      <w:r w:rsidR="008A4964" w:rsidRPr="00220878">
        <w:rPr>
          <w:rFonts w:ascii="Times New Roman" w:hAnsi="Times New Roman" w:cs="Times New Roman"/>
          <w:bCs/>
          <w:sz w:val="28"/>
          <w:szCs w:val="28"/>
        </w:rPr>
        <w:t>,</w:t>
      </w:r>
      <w:r w:rsidR="008A4964" w:rsidRPr="00220878">
        <w:rPr>
          <w:rFonts w:ascii="Times New Roman" w:hAnsi="Times New Roman" w:cs="Times New Roman"/>
          <w:sz w:val="28"/>
          <w:szCs w:val="28"/>
        </w:rPr>
        <w:t xml:space="preserve"> «Деятельность административная и сопутствующие дополнительные услуги»</w:t>
      </w:r>
      <w:r w:rsidRPr="00220878">
        <w:rPr>
          <w:rFonts w:ascii="Times New Roman" w:hAnsi="Times New Roman" w:cs="Times New Roman"/>
          <w:bCs/>
          <w:sz w:val="28"/>
          <w:szCs w:val="28"/>
        </w:rPr>
        <w:t>.</w:t>
      </w:r>
      <w:r w:rsidR="002D3D8A" w:rsidRPr="002208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D8A" w:rsidRPr="00220878" w:rsidRDefault="002D3D8A" w:rsidP="00A86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78">
        <w:rPr>
          <w:rFonts w:ascii="Times New Roman" w:hAnsi="Times New Roman" w:cs="Times New Roman"/>
          <w:sz w:val="28"/>
          <w:szCs w:val="28"/>
        </w:rPr>
        <w:t>В 2023 году ожидается снижение объема инвестиций в основной капитал в размере  10,0  -  9,6 %  по консервативному и базовому вариантам прогноза</w:t>
      </w:r>
      <w:r w:rsidR="00A869FF" w:rsidRPr="00220878">
        <w:rPr>
          <w:rFonts w:ascii="Times New Roman" w:hAnsi="Times New Roman" w:cs="Times New Roman"/>
          <w:sz w:val="28"/>
          <w:szCs w:val="28"/>
        </w:rPr>
        <w:t>, что обуславливается эффектом высокой базой 2022 года, уменьшением инвестиционных вложений по видам экономической деятельности:</w:t>
      </w:r>
      <w:proofErr w:type="gramEnd"/>
      <w:r w:rsidR="00A869FF" w:rsidRPr="00220878">
        <w:rPr>
          <w:rFonts w:ascii="Times New Roman" w:hAnsi="Times New Roman" w:cs="Times New Roman"/>
          <w:bCs/>
          <w:sz w:val="28"/>
          <w:szCs w:val="28"/>
        </w:rPr>
        <w:t xml:space="preserve"> "Транспортировка и хранение", </w:t>
      </w:r>
      <w:r w:rsidR="00A869FF" w:rsidRPr="00220878">
        <w:rPr>
          <w:rFonts w:ascii="Times New Roman" w:hAnsi="Times New Roman"/>
          <w:sz w:val="28"/>
          <w:szCs w:val="28"/>
        </w:rPr>
        <w:t xml:space="preserve">«Торговля оптовая и розничная; ремонт автотранспортных средств и мотоциклов» и не запланированных расходов на ремонт электрических сетей в </w:t>
      </w:r>
      <w:proofErr w:type="spellStart"/>
      <w:r w:rsidR="00A869FF" w:rsidRPr="00220878">
        <w:rPr>
          <w:rFonts w:ascii="Times New Roman" w:hAnsi="Times New Roman"/>
          <w:sz w:val="28"/>
          <w:szCs w:val="28"/>
        </w:rPr>
        <w:t>Западнодвинском</w:t>
      </w:r>
      <w:proofErr w:type="spellEnd"/>
      <w:r w:rsidR="00A869FF" w:rsidRPr="00220878">
        <w:rPr>
          <w:rFonts w:ascii="Times New Roman" w:hAnsi="Times New Roman"/>
          <w:sz w:val="28"/>
          <w:szCs w:val="28"/>
        </w:rPr>
        <w:t xml:space="preserve"> муниципальном округе МРСК "Центра".</w:t>
      </w:r>
    </w:p>
    <w:p w:rsidR="00A869FF" w:rsidRPr="00220878" w:rsidRDefault="00A869FF" w:rsidP="00A869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78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Западнодвинского муниципального округа отсутствуют инвестиционные проекты и не планируются к реализации на перспективу.</w:t>
      </w:r>
    </w:p>
    <w:p w:rsidR="00A869FF" w:rsidRPr="00220878" w:rsidRDefault="00A869FF" w:rsidP="00A869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220878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220878">
        <w:rPr>
          <w:rFonts w:ascii="Times New Roman" w:eastAsia="Times New Roman" w:hAnsi="Times New Roman" w:cs="Times New Roman"/>
          <w:sz w:val="28"/>
          <w:szCs w:val="28"/>
        </w:rPr>
        <w:t xml:space="preserve"> работы организаций и учреждений бюджетной сферы планируется приобретение инвентаря и оборудования учреждениями образования, культуры, спорта и здравоохранения, а также приобретать транспорт и  лесохозяйственную технику.</w:t>
      </w:r>
    </w:p>
    <w:p w:rsidR="006B08CB" w:rsidRPr="00220878" w:rsidRDefault="00A869FF" w:rsidP="00A869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78">
        <w:rPr>
          <w:rFonts w:ascii="Times New Roman" w:eastAsia="Times New Roman" w:hAnsi="Times New Roman" w:cs="Times New Roman"/>
          <w:sz w:val="28"/>
          <w:szCs w:val="28"/>
        </w:rPr>
        <w:t>Таким образом, динамика показателя по объему инвестиций в основной капитал</w:t>
      </w:r>
      <w:r w:rsidR="00F05F27"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5F27" w:rsidRPr="00220878">
        <w:rPr>
          <w:rFonts w:ascii="Times New Roman" w:hAnsi="Times New Roman" w:cs="Times New Roman"/>
          <w:sz w:val="28"/>
          <w:szCs w:val="28"/>
        </w:rPr>
        <w:t>в 202</w:t>
      </w:r>
      <w:r w:rsidRPr="00220878">
        <w:rPr>
          <w:rFonts w:ascii="Times New Roman" w:hAnsi="Times New Roman" w:cs="Times New Roman"/>
          <w:sz w:val="28"/>
          <w:szCs w:val="28"/>
        </w:rPr>
        <w:t>4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B6773C" w:rsidRPr="00220878">
        <w:rPr>
          <w:rFonts w:ascii="Times New Roman" w:hAnsi="Times New Roman" w:cs="Times New Roman"/>
          <w:sz w:val="28"/>
          <w:szCs w:val="28"/>
        </w:rPr>
        <w:t>прирост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 на </w:t>
      </w:r>
      <w:r w:rsidR="00227E3C" w:rsidRPr="00220878">
        <w:rPr>
          <w:rFonts w:ascii="Times New Roman" w:hAnsi="Times New Roman" w:cs="Times New Roman"/>
          <w:sz w:val="28"/>
          <w:szCs w:val="28"/>
        </w:rPr>
        <w:t>9,0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 % и </w:t>
      </w:r>
      <w:r w:rsidR="00227E3C" w:rsidRPr="00220878">
        <w:rPr>
          <w:rFonts w:ascii="Times New Roman" w:hAnsi="Times New Roman" w:cs="Times New Roman"/>
          <w:sz w:val="28"/>
          <w:szCs w:val="28"/>
        </w:rPr>
        <w:t>12,1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 %</w:t>
      </w:r>
      <w:r w:rsidR="00BC7201" w:rsidRPr="00220878">
        <w:rPr>
          <w:rFonts w:ascii="Times New Roman" w:hAnsi="Times New Roman" w:cs="Times New Roman"/>
          <w:sz w:val="28"/>
          <w:szCs w:val="28"/>
        </w:rPr>
        <w:t>)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Pr="00220878">
        <w:rPr>
          <w:rFonts w:ascii="Times New Roman" w:hAnsi="Times New Roman" w:cs="Times New Roman"/>
          <w:sz w:val="28"/>
          <w:szCs w:val="28"/>
        </w:rPr>
        <w:t>3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 года по консервативному и базовому вариантам прогноза)</w:t>
      </w:r>
      <w:r w:rsidR="006B08CB" w:rsidRPr="00220878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B6773C" w:rsidRPr="00220878">
        <w:rPr>
          <w:rFonts w:ascii="Times New Roman" w:hAnsi="Times New Roman" w:cs="Times New Roman"/>
          <w:sz w:val="28"/>
          <w:szCs w:val="28"/>
        </w:rPr>
        <w:t>с</w:t>
      </w:r>
      <w:r w:rsidRPr="00220878">
        <w:rPr>
          <w:rFonts w:ascii="Times New Roman" w:hAnsi="Times New Roman" w:cs="Times New Roman"/>
          <w:sz w:val="28"/>
          <w:szCs w:val="28"/>
        </w:rPr>
        <w:t xml:space="preserve"> ростом</w:t>
      </w:r>
      <w:r w:rsidR="006B08CB" w:rsidRPr="00220878">
        <w:rPr>
          <w:rFonts w:ascii="Times New Roman" w:hAnsi="Times New Roman" w:cs="Times New Roman"/>
          <w:sz w:val="28"/>
          <w:szCs w:val="28"/>
        </w:rPr>
        <w:t xml:space="preserve"> преимущественно по видам деятельности</w:t>
      </w:r>
      <w:r w:rsidR="00227E3C" w:rsidRPr="002208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7E3C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6B08CB" w:rsidRPr="00220878">
        <w:rPr>
          <w:rFonts w:ascii="Times New Roman" w:hAnsi="Times New Roman" w:cs="Times New Roman"/>
          <w:sz w:val="28"/>
          <w:szCs w:val="28"/>
        </w:rPr>
        <w:t xml:space="preserve"> «Сельское, лесное хозяйство, охота, рыболовство и рыбоводство», «Образование», «Государственное управление и обеспечение военной безопасности; социальное обеспечение</w:t>
      </w:r>
      <w:r w:rsidR="00E24446" w:rsidRPr="00220878">
        <w:rPr>
          <w:rFonts w:ascii="Times New Roman" w:hAnsi="Times New Roman" w:cs="Times New Roman"/>
          <w:sz w:val="28"/>
          <w:szCs w:val="28"/>
        </w:rPr>
        <w:t xml:space="preserve">», «Деятельность в области культуры, спорта, организации досуга и развлечений», </w:t>
      </w:r>
      <w:r w:rsidR="00E24446" w:rsidRPr="00220878">
        <w:rPr>
          <w:sz w:val="28"/>
          <w:szCs w:val="28"/>
        </w:rPr>
        <w:t xml:space="preserve"> </w:t>
      </w:r>
      <w:r w:rsidR="00E24446" w:rsidRPr="00220878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услуг».</w:t>
      </w:r>
    </w:p>
    <w:p w:rsidR="00F05F27" w:rsidRPr="00220878" w:rsidRDefault="006B08CB" w:rsidP="00F05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20878">
        <w:rPr>
          <w:rFonts w:ascii="Times New Roman" w:hAnsi="Times New Roman" w:cs="Times New Roman"/>
          <w:sz w:val="28"/>
          <w:szCs w:val="28"/>
        </w:rPr>
        <w:t>Динамика в 202</w:t>
      </w:r>
      <w:r w:rsidR="00227E3C" w:rsidRPr="00220878">
        <w:rPr>
          <w:rFonts w:ascii="Times New Roman" w:hAnsi="Times New Roman" w:cs="Times New Roman"/>
          <w:sz w:val="28"/>
          <w:szCs w:val="28"/>
        </w:rPr>
        <w:t>5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году (прирост </w:t>
      </w:r>
      <w:r w:rsidR="00227E3C" w:rsidRPr="00220878">
        <w:rPr>
          <w:rFonts w:ascii="Times New Roman" w:hAnsi="Times New Roman" w:cs="Times New Roman"/>
          <w:sz w:val="28"/>
          <w:szCs w:val="28"/>
        </w:rPr>
        <w:t>10,0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и </w:t>
      </w:r>
      <w:r w:rsidR="00227E3C" w:rsidRPr="00220878">
        <w:rPr>
          <w:rFonts w:ascii="Times New Roman" w:hAnsi="Times New Roman" w:cs="Times New Roman"/>
          <w:sz w:val="28"/>
          <w:szCs w:val="28"/>
        </w:rPr>
        <w:t>13,5</w:t>
      </w:r>
      <w:r w:rsidRPr="00220878">
        <w:rPr>
          <w:rFonts w:ascii="Times New Roman" w:hAnsi="Times New Roman" w:cs="Times New Roman"/>
          <w:sz w:val="28"/>
          <w:szCs w:val="28"/>
        </w:rPr>
        <w:t xml:space="preserve"> %</w:t>
      </w:r>
      <w:r w:rsidR="00BC7201" w:rsidRPr="00220878">
        <w:rPr>
          <w:rFonts w:ascii="Times New Roman" w:hAnsi="Times New Roman" w:cs="Times New Roman"/>
          <w:sz w:val="28"/>
          <w:szCs w:val="28"/>
        </w:rPr>
        <w:t>)</w:t>
      </w:r>
      <w:r w:rsidRPr="00220878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227E3C" w:rsidRPr="00220878">
        <w:rPr>
          <w:rFonts w:ascii="Times New Roman" w:hAnsi="Times New Roman" w:cs="Times New Roman"/>
          <w:sz w:val="28"/>
          <w:szCs w:val="28"/>
        </w:rPr>
        <w:t>4</w:t>
      </w:r>
      <w:r w:rsidRPr="00220878">
        <w:rPr>
          <w:rFonts w:ascii="Times New Roman" w:hAnsi="Times New Roman" w:cs="Times New Roman"/>
          <w:sz w:val="28"/>
          <w:szCs w:val="28"/>
        </w:rPr>
        <w:t xml:space="preserve"> года по консервативному и базовому вариантам прогноза) будет определяться, в большей степени, ростом объема и</w:t>
      </w:r>
      <w:r w:rsidR="00227E3C" w:rsidRPr="00220878">
        <w:rPr>
          <w:rFonts w:ascii="Times New Roman" w:hAnsi="Times New Roman" w:cs="Times New Roman"/>
          <w:sz w:val="28"/>
          <w:szCs w:val="28"/>
        </w:rPr>
        <w:t>нвестиций по видам деятельности:</w:t>
      </w:r>
      <w:proofErr w:type="gramEnd"/>
      <w:r w:rsidR="00227E3C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F05F27" w:rsidRPr="00220878">
        <w:rPr>
          <w:rFonts w:ascii="Times New Roman" w:hAnsi="Times New Roman" w:cs="Times New Roman"/>
          <w:sz w:val="28"/>
          <w:szCs w:val="28"/>
        </w:rPr>
        <w:t>«Транспортировка и хранение», «</w:t>
      </w:r>
      <w:r w:rsidR="00E24446" w:rsidRPr="00220878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», </w:t>
      </w:r>
      <w:r w:rsidR="00E24446" w:rsidRPr="00220878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обеспечение», </w:t>
      </w:r>
      <w:r w:rsidR="00F05F27" w:rsidRPr="00220878">
        <w:rPr>
          <w:rFonts w:ascii="Times New Roman" w:hAnsi="Times New Roman" w:cs="Times New Roman"/>
          <w:sz w:val="28"/>
          <w:szCs w:val="28"/>
        </w:rPr>
        <w:t>«Деятельность в области культуры, спорта, организации досуга и развлечений»</w:t>
      </w:r>
      <w:r w:rsidR="00E24446" w:rsidRPr="00220878">
        <w:rPr>
          <w:rFonts w:ascii="Times New Roman" w:hAnsi="Times New Roman" w:cs="Times New Roman"/>
          <w:sz w:val="28"/>
          <w:szCs w:val="28"/>
        </w:rPr>
        <w:t xml:space="preserve">, </w:t>
      </w:r>
      <w:r w:rsidR="00E24446" w:rsidRPr="00220878">
        <w:rPr>
          <w:sz w:val="28"/>
          <w:szCs w:val="28"/>
        </w:rPr>
        <w:t xml:space="preserve"> </w:t>
      </w:r>
      <w:r w:rsidR="00E24446" w:rsidRPr="00220878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</w:t>
      </w:r>
      <w:r w:rsidR="00227E3C" w:rsidRPr="00220878">
        <w:rPr>
          <w:rFonts w:ascii="Times New Roman" w:hAnsi="Times New Roman" w:cs="Times New Roman"/>
          <w:sz w:val="28"/>
          <w:szCs w:val="28"/>
        </w:rPr>
        <w:t>, «Образование»</w:t>
      </w:r>
      <w:r w:rsidR="00F05F27" w:rsidRPr="00220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446" w:rsidRPr="00220878" w:rsidRDefault="00E24446" w:rsidP="00E24446">
      <w:pPr>
        <w:pStyle w:val="Default"/>
        <w:spacing w:line="276" w:lineRule="auto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05F27" w:rsidRPr="00220878" w:rsidRDefault="00E24446" w:rsidP="00E24446">
      <w:pPr>
        <w:pStyle w:val="Default"/>
        <w:spacing w:line="276" w:lineRule="auto"/>
        <w:ind w:firstLine="54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Подраздел </w:t>
      </w:r>
      <w:r w:rsidR="00227E3C" w:rsidRPr="00220878">
        <w:rPr>
          <w:sz w:val="28"/>
          <w:szCs w:val="28"/>
          <w:lang w:val="en-US"/>
        </w:rPr>
        <w:t>VIII</w:t>
      </w:r>
      <w:r w:rsidR="00227E3C" w:rsidRPr="00220878">
        <w:rPr>
          <w:sz w:val="28"/>
          <w:szCs w:val="28"/>
        </w:rPr>
        <w:t>.</w:t>
      </w:r>
      <w:r w:rsidRPr="00220878">
        <w:rPr>
          <w:rFonts w:eastAsiaTheme="minorHAnsi"/>
          <w:color w:val="auto"/>
          <w:sz w:val="28"/>
          <w:szCs w:val="28"/>
          <w:lang w:eastAsia="en-US"/>
        </w:rPr>
        <w:t xml:space="preserve"> Доходы населения</w:t>
      </w:r>
    </w:p>
    <w:p w:rsidR="00AF0507" w:rsidRPr="00220878" w:rsidRDefault="00AF0507" w:rsidP="00E24446">
      <w:pPr>
        <w:pStyle w:val="Default"/>
        <w:spacing w:line="276" w:lineRule="auto"/>
        <w:ind w:firstLine="54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AF0507" w:rsidRPr="00220878" w:rsidRDefault="00AF0507" w:rsidP="008D567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2022 года планируется, что реальные располагаемые денежные доходы выйдут в отрицательную область значений и составят 98,6 % (по Тверской области – 96,6 %). Снижению реальных доходов граждан будет способствовать рост инфляции ввиду внешнего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давления. </w:t>
      </w:r>
    </w:p>
    <w:p w:rsidR="008D567A" w:rsidRPr="00220878" w:rsidRDefault="00AF0507" w:rsidP="008D567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Основная доля доходов населения складывается </w:t>
      </w:r>
      <w:r w:rsidR="001F282F" w:rsidRPr="00220878">
        <w:rPr>
          <w:rFonts w:ascii="Times New Roman" w:hAnsi="Times New Roman" w:cs="Times New Roman"/>
          <w:sz w:val="28"/>
          <w:szCs w:val="28"/>
        </w:rPr>
        <w:t>из социальных выплат  и заработной</w:t>
      </w:r>
      <w:r w:rsidR="009A44DF" w:rsidRPr="00220878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220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507" w:rsidRPr="00220878" w:rsidRDefault="00AF0507" w:rsidP="008D567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При общем сокращении численности населения в условиях демографического старения каждый </w:t>
      </w:r>
      <w:r w:rsidR="009A44DF" w:rsidRPr="00220878">
        <w:rPr>
          <w:rFonts w:ascii="Times New Roman" w:hAnsi="Times New Roman" w:cs="Times New Roman"/>
          <w:sz w:val="28"/>
          <w:szCs w:val="28"/>
        </w:rPr>
        <w:t>трети</w:t>
      </w:r>
      <w:r w:rsidRPr="00220878">
        <w:rPr>
          <w:rFonts w:ascii="Times New Roman" w:hAnsi="Times New Roman" w:cs="Times New Roman"/>
          <w:sz w:val="28"/>
          <w:szCs w:val="28"/>
        </w:rPr>
        <w:t xml:space="preserve">й житель в </w:t>
      </w:r>
      <w:r w:rsidR="009A44DF" w:rsidRPr="00220878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220878">
        <w:rPr>
          <w:rFonts w:ascii="Times New Roman" w:hAnsi="Times New Roman" w:cs="Times New Roman"/>
          <w:sz w:val="28"/>
          <w:szCs w:val="28"/>
        </w:rPr>
        <w:t xml:space="preserve"> является пенсионером (на 1 </w:t>
      </w:r>
      <w:r w:rsidR="009A44DF" w:rsidRPr="00220878">
        <w:rPr>
          <w:rFonts w:ascii="Times New Roman" w:hAnsi="Times New Roman" w:cs="Times New Roman"/>
          <w:sz w:val="28"/>
          <w:szCs w:val="28"/>
        </w:rPr>
        <w:t>января</w:t>
      </w:r>
      <w:r w:rsidRPr="0022087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9A44DF" w:rsidRPr="00220878">
        <w:rPr>
          <w:rFonts w:ascii="Times New Roman" w:hAnsi="Times New Roman" w:cs="Times New Roman"/>
          <w:sz w:val="28"/>
          <w:szCs w:val="28"/>
        </w:rPr>
        <w:t>4787</w:t>
      </w:r>
      <w:r w:rsidRPr="00220878">
        <w:rPr>
          <w:rFonts w:ascii="Times New Roman" w:hAnsi="Times New Roman" w:cs="Times New Roman"/>
          <w:sz w:val="28"/>
          <w:szCs w:val="28"/>
        </w:rPr>
        <w:t xml:space="preserve"> человек – 3</w:t>
      </w:r>
      <w:r w:rsidR="009A44DF" w:rsidRPr="00220878">
        <w:rPr>
          <w:rFonts w:ascii="Times New Roman" w:hAnsi="Times New Roman" w:cs="Times New Roman"/>
          <w:sz w:val="28"/>
          <w:szCs w:val="28"/>
        </w:rPr>
        <w:t>9</w:t>
      </w:r>
      <w:r w:rsidRPr="00220878">
        <w:rPr>
          <w:rFonts w:ascii="Times New Roman" w:hAnsi="Times New Roman" w:cs="Times New Roman"/>
          <w:sz w:val="28"/>
          <w:szCs w:val="28"/>
        </w:rPr>
        <w:t xml:space="preserve">,3 % от общей численности населения). Средний размер назначенных месячных пенсий по состоянию на 1 </w:t>
      </w:r>
      <w:r w:rsidR="008D567A" w:rsidRPr="00220878">
        <w:rPr>
          <w:rFonts w:ascii="Times New Roman" w:hAnsi="Times New Roman" w:cs="Times New Roman"/>
          <w:sz w:val="28"/>
          <w:szCs w:val="28"/>
        </w:rPr>
        <w:t>января</w:t>
      </w:r>
      <w:r w:rsidRPr="00220878">
        <w:rPr>
          <w:rFonts w:ascii="Times New Roman" w:hAnsi="Times New Roman" w:cs="Times New Roman"/>
          <w:sz w:val="28"/>
          <w:szCs w:val="28"/>
        </w:rPr>
        <w:t xml:space="preserve"> 2022 года составил 1</w:t>
      </w:r>
      <w:r w:rsidR="008D567A" w:rsidRPr="00220878">
        <w:rPr>
          <w:rFonts w:ascii="Times New Roman" w:hAnsi="Times New Roman" w:cs="Times New Roman"/>
          <w:sz w:val="28"/>
          <w:szCs w:val="28"/>
        </w:rPr>
        <w:t>419</w:t>
      </w:r>
      <w:r w:rsidRPr="00220878">
        <w:rPr>
          <w:rFonts w:ascii="Times New Roman" w:hAnsi="Times New Roman" w:cs="Times New Roman"/>
          <w:sz w:val="28"/>
          <w:szCs w:val="28"/>
        </w:rPr>
        <w:t>6 рубл</w:t>
      </w:r>
      <w:r w:rsidR="008D567A" w:rsidRPr="00220878">
        <w:rPr>
          <w:rFonts w:ascii="Times New Roman" w:hAnsi="Times New Roman" w:cs="Times New Roman"/>
          <w:sz w:val="28"/>
          <w:szCs w:val="28"/>
        </w:rPr>
        <w:t>ей</w:t>
      </w:r>
      <w:r w:rsidRPr="00220878">
        <w:rPr>
          <w:rFonts w:ascii="Times New Roman" w:hAnsi="Times New Roman" w:cs="Times New Roman"/>
          <w:sz w:val="28"/>
          <w:szCs w:val="28"/>
        </w:rPr>
        <w:t xml:space="preserve"> и вырос на </w:t>
      </w:r>
      <w:r w:rsidR="008D567A" w:rsidRPr="00220878">
        <w:rPr>
          <w:rFonts w:ascii="Times New Roman" w:hAnsi="Times New Roman" w:cs="Times New Roman"/>
          <w:sz w:val="28"/>
          <w:szCs w:val="28"/>
        </w:rPr>
        <w:t>7,5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относительно уровня 2021 года</w:t>
      </w:r>
      <w:r w:rsidR="008D567A" w:rsidRPr="00220878">
        <w:rPr>
          <w:rFonts w:ascii="Times New Roman" w:hAnsi="Times New Roman" w:cs="Times New Roman"/>
          <w:sz w:val="28"/>
          <w:szCs w:val="28"/>
        </w:rPr>
        <w:t>.</w:t>
      </w:r>
      <w:r w:rsidRPr="0022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07" w:rsidRPr="00220878" w:rsidRDefault="00AF0507" w:rsidP="008D567A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Доля населения </w:t>
      </w:r>
      <w:r w:rsidR="008D567A" w:rsidRPr="00220878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220878">
        <w:rPr>
          <w:rFonts w:ascii="Times New Roman" w:hAnsi="Times New Roman" w:cs="Times New Roman"/>
          <w:sz w:val="28"/>
          <w:szCs w:val="28"/>
        </w:rPr>
        <w:t xml:space="preserve"> с доходами ниже величины прожиточного минимума в 2022 году составит 1</w:t>
      </w:r>
      <w:r w:rsidR="008D567A" w:rsidRPr="00220878">
        <w:rPr>
          <w:rFonts w:ascii="Times New Roman" w:hAnsi="Times New Roman" w:cs="Times New Roman"/>
          <w:sz w:val="28"/>
          <w:szCs w:val="28"/>
        </w:rPr>
        <w:t>1</w:t>
      </w:r>
      <w:r w:rsidRPr="00220878">
        <w:rPr>
          <w:rFonts w:ascii="Times New Roman" w:hAnsi="Times New Roman" w:cs="Times New Roman"/>
          <w:sz w:val="28"/>
          <w:szCs w:val="28"/>
        </w:rPr>
        <w:t>,</w:t>
      </w:r>
      <w:r w:rsidR="00012800" w:rsidRPr="00220878">
        <w:rPr>
          <w:rFonts w:ascii="Times New Roman" w:hAnsi="Times New Roman" w:cs="Times New Roman"/>
          <w:sz w:val="28"/>
          <w:szCs w:val="28"/>
        </w:rPr>
        <w:t>2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(снижение на 0,6 п. п. к уровню 2021 года). В прогнозном периоде предполагается дальнейшее снижение уровня бедности в </w:t>
      </w:r>
      <w:r w:rsidR="008B1D09" w:rsidRPr="00220878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220878">
        <w:rPr>
          <w:rFonts w:ascii="Times New Roman" w:hAnsi="Times New Roman" w:cs="Times New Roman"/>
          <w:sz w:val="28"/>
          <w:szCs w:val="28"/>
        </w:rPr>
        <w:t xml:space="preserve"> до </w:t>
      </w:r>
      <w:r w:rsidR="00012800" w:rsidRPr="00220878">
        <w:rPr>
          <w:rFonts w:ascii="Times New Roman" w:hAnsi="Times New Roman" w:cs="Times New Roman"/>
          <w:sz w:val="28"/>
          <w:szCs w:val="28"/>
        </w:rPr>
        <w:t>9,6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в 2025 году (снижение на </w:t>
      </w:r>
      <w:r w:rsidR="00012800" w:rsidRPr="00220878">
        <w:rPr>
          <w:rFonts w:ascii="Times New Roman" w:hAnsi="Times New Roman" w:cs="Times New Roman"/>
          <w:sz w:val="28"/>
          <w:szCs w:val="28"/>
        </w:rPr>
        <w:t>1,6</w:t>
      </w:r>
      <w:r w:rsidRPr="00220878">
        <w:rPr>
          <w:rFonts w:ascii="Times New Roman" w:hAnsi="Times New Roman" w:cs="Times New Roman"/>
          <w:sz w:val="28"/>
          <w:szCs w:val="28"/>
        </w:rPr>
        <w:t xml:space="preserve"> п.п. к уровню 2021 года).</w:t>
      </w:r>
    </w:p>
    <w:p w:rsidR="001C201C" w:rsidRPr="00220878" w:rsidRDefault="001C201C" w:rsidP="001C201C">
      <w:pPr>
        <w:spacing w:after="0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201C" w:rsidRPr="00220878" w:rsidRDefault="001C201C" w:rsidP="001C201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7E3C" w:rsidRPr="00220878">
        <w:rPr>
          <w:sz w:val="28"/>
          <w:szCs w:val="28"/>
          <w:lang w:val="en-US"/>
        </w:rPr>
        <w:t>IX</w:t>
      </w:r>
      <w:r w:rsidRPr="00220878">
        <w:rPr>
          <w:rFonts w:ascii="Times New Roman" w:hAnsi="Times New Roman" w:cs="Times New Roman"/>
          <w:sz w:val="28"/>
          <w:szCs w:val="28"/>
        </w:rPr>
        <w:t xml:space="preserve">. </w:t>
      </w:r>
      <w:r w:rsidR="002D60A1" w:rsidRPr="00220878">
        <w:rPr>
          <w:rFonts w:ascii="Times New Roman" w:hAnsi="Times New Roman" w:cs="Times New Roman"/>
          <w:sz w:val="28"/>
          <w:szCs w:val="28"/>
        </w:rPr>
        <w:t>Т</w:t>
      </w:r>
      <w:r w:rsidRPr="00220878">
        <w:rPr>
          <w:rFonts w:ascii="Times New Roman" w:hAnsi="Times New Roman" w:cs="Times New Roman"/>
          <w:sz w:val="28"/>
          <w:szCs w:val="28"/>
        </w:rPr>
        <w:t>руд</w:t>
      </w:r>
      <w:r w:rsidR="002D60A1" w:rsidRPr="00220878">
        <w:rPr>
          <w:rFonts w:ascii="Times New Roman" w:hAnsi="Times New Roman" w:cs="Times New Roman"/>
          <w:sz w:val="28"/>
          <w:szCs w:val="28"/>
        </w:rPr>
        <w:t xml:space="preserve"> и занятость</w:t>
      </w:r>
    </w:p>
    <w:p w:rsidR="00641AEB" w:rsidRPr="00220878" w:rsidRDefault="00641AEB" w:rsidP="001C201C">
      <w:pPr>
        <w:spacing w:after="0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1AEB" w:rsidRPr="00220878" w:rsidRDefault="00641AEB" w:rsidP="00E24446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 xml:space="preserve">Развитие рынка труда в среднесрочной перспективе будет определяться складывающимися в </w:t>
      </w:r>
      <w:proofErr w:type="spellStart"/>
      <w:r w:rsidRPr="00220878">
        <w:rPr>
          <w:color w:val="auto"/>
          <w:sz w:val="28"/>
          <w:szCs w:val="28"/>
        </w:rPr>
        <w:t>Западнодвинском</w:t>
      </w:r>
      <w:proofErr w:type="spellEnd"/>
      <w:r w:rsidRPr="00220878">
        <w:rPr>
          <w:color w:val="auto"/>
          <w:sz w:val="28"/>
          <w:szCs w:val="28"/>
        </w:rPr>
        <w:t xml:space="preserve"> муниципальном округе социально-экономическими и демографическими процессами. </w:t>
      </w:r>
    </w:p>
    <w:p w:rsidR="008F1424" w:rsidRPr="00220878" w:rsidRDefault="00641AEB" w:rsidP="00E24446">
      <w:pPr>
        <w:pStyle w:val="Default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220878">
        <w:rPr>
          <w:color w:val="auto"/>
          <w:sz w:val="28"/>
          <w:szCs w:val="28"/>
        </w:rPr>
        <w:t xml:space="preserve">Численность рабочей силы, включая численность занятых в экономике </w:t>
      </w:r>
      <w:r w:rsidR="00541F6C" w:rsidRPr="00220878">
        <w:rPr>
          <w:color w:val="auto"/>
          <w:sz w:val="28"/>
          <w:szCs w:val="28"/>
        </w:rPr>
        <w:t>муниципального о</w:t>
      </w:r>
      <w:r w:rsidRPr="00220878">
        <w:rPr>
          <w:color w:val="auto"/>
          <w:sz w:val="28"/>
          <w:szCs w:val="28"/>
        </w:rPr>
        <w:t xml:space="preserve">круга, в течение </w:t>
      </w:r>
      <w:r w:rsidR="002C15A3" w:rsidRPr="00220878">
        <w:rPr>
          <w:color w:val="auto"/>
          <w:sz w:val="28"/>
          <w:szCs w:val="28"/>
        </w:rPr>
        <w:t>5</w:t>
      </w:r>
      <w:r w:rsidRPr="00220878">
        <w:rPr>
          <w:color w:val="auto"/>
          <w:sz w:val="28"/>
          <w:szCs w:val="28"/>
        </w:rPr>
        <w:t xml:space="preserve"> последних лет ежегодно снижается. На значение данных показателей влияют высокий уровень смертности населения в трудоспособном возрасте, а также продолжающаяся миграция населения в другие субъекты Российской Федерации. Планируется, что к 202</w:t>
      </w:r>
      <w:r w:rsidR="00541F6C" w:rsidRPr="00220878">
        <w:rPr>
          <w:color w:val="auto"/>
          <w:sz w:val="28"/>
          <w:szCs w:val="28"/>
        </w:rPr>
        <w:t>5</w:t>
      </w:r>
      <w:r w:rsidRPr="00220878">
        <w:rPr>
          <w:color w:val="auto"/>
          <w:sz w:val="28"/>
          <w:szCs w:val="28"/>
        </w:rPr>
        <w:t xml:space="preserve"> году численность экономически активного населения в </w:t>
      </w:r>
      <w:r w:rsidR="00541F6C" w:rsidRPr="00220878">
        <w:rPr>
          <w:color w:val="auto"/>
          <w:sz w:val="28"/>
          <w:szCs w:val="28"/>
        </w:rPr>
        <w:t>муниципальном окр</w:t>
      </w:r>
      <w:r w:rsidRPr="00220878">
        <w:rPr>
          <w:color w:val="auto"/>
          <w:sz w:val="28"/>
          <w:szCs w:val="28"/>
        </w:rPr>
        <w:t>уге уменьшится по сравнению с 20</w:t>
      </w:r>
      <w:r w:rsidR="002514B4" w:rsidRPr="00220878">
        <w:rPr>
          <w:color w:val="auto"/>
          <w:sz w:val="28"/>
          <w:szCs w:val="28"/>
        </w:rPr>
        <w:t>2</w:t>
      </w:r>
      <w:r w:rsidR="00541F6C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годом</w:t>
      </w:r>
      <w:r w:rsidRPr="00220878">
        <w:rPr>
          <w:color w:val="FF0000"/>
          <w:sz w:val="28"/>
          <w:szCs w:val="28"/>
        </w:rPr>
        <w:t xml:space="preserve"> </w:t>
      </w:r>
      <w:r w:rsidRPr="00220878">
        <w:rPr>
          <w:color w:val="auto"/>
          <w:sz w:val="28"/>
          <w:szCs w:val="28"/>
        </w:rPr>
        <w:t xml:space="preserve">на </w:t>
      </w:r>
      <w:r w:rsidR="002C15A3" w:rsidRPr="00220878">
        <w:rPr>
          <w:color w:val="auto"/>
          <w:sz w:val="28"/>
          <w:szCs w:val="28"/>
        </w:rPr>
        <w:t>3,4</w:t>
      </w:r>
      <w:r w:rsidRPr="00220878">
        <w:rPr>
          <w:color w:val="auto"/>
          <w:sz w:val="28"/>
          <w:szCs w:val="28"/>
        </w:rPr>
        <w:t xml:space="preserve"> – </w:t>
      </w:r>
      <w:r w:rsidR="002C15A3" w:rsidRPr="00220878">
        <w:rPr>
          <w:color w:val="auto"/>
          <w:sz w:val="28"/>
          <w:szCs w:val="28"/>
        </w:rPr>
        <w:t>3,2</w:t>
      </w:r>
      <w:r w:rsidRPr="00220878">
        <w:rPr>
          <w:color w:val="auto"/>
          <w:sz w:val="28"/>
          <w:szCs w:val="28"/>
        </w:rPr>
        <w:t xml:space="preserve"> % и составит 5,</w:t>
      </w:r>
      <w:r w:rsidR="002514B4" w:rsidRPr="00220878">
        <w:rPr>
          <w:color w:val="auto"/>
          <w:sz w:val="28"/>
          <w:szCs w:val="28"/>
        </w:rPr>
        <w:t>5</w:t>
      </w:r>
      <w:r w:rsidR="002C15A3" w:rsidRPr="00220878">
        <w:rPr>
          <w:color w:val="auto"/>
          <w:sz w:val="28"/>
          <w:szCs w:val="28"/>
        </w:rPr>
        <w:t>4</w:t>
      </w:r>
      <w:r w:rsidRPr="00220878">
        <w:rPr>
          <w:color w:val="auto"/>
          <w:sz w:val="28"/>
          <w:szCs w:val="28"/>
        </w:rPr>
        <w:t xml:space="preserve"> тыс. чел. и 5,</w:t>
      </w:r>
      <w:r w:rsidR="002C15A3" w:rsidRPr="00220878">
        <w:rPr>
          <w:color w:val="auto"/>
          <w:sz w:val="28"/>
          <w:szCs w:val="28"/>
        </w:rPr>
        <w:t>552</w:t>
      </w:r>
      <w:r w:rsidRPr="00220878">
        <w:rPr>
          <w:color w:val="auto"/>
          <w:sz w:val="28"/>
          <w:szCs w:val="28"/>
        </w:rPr>
        <w:t xml:space="preserve"> тыс. чел. по 1 и 2 вариантам прогноза соответственно.</w:t>
      </w:r>
    </w:p>
    <w:p w:rsidR="00641AEB" w:rsidRPr="00220878" w:rsidRDefault="00641AEB" w:rsidP="00E24446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 xml:space="preserve">Среднегодовая численность занятых в экономике </w:t>
      </w:r>
      <w:r w:rsidR="00021E94" w:rsidRPr="00220878">
        <w:rPr>
          <w:color w:val="auto"/>
          <w:sz w:val="28"/>
          <w:szCs w:val="28"/>
        </w:rPr>
        <w:t xml:space="preserve">Западнодвинского </w:t>
      </w:r>
      <w:r w:rsidR="00541F6C" w:rsidRPr="00220878">
        <w:rPr>
          <w:color w:val="auto"/>
          <w:sz w:val="28"/>
          <w:szCs w:val="28"/>
        </w:rPr>
        <w:t>муниципального округа</w:t>
      </w:r>
      <w:r w:rsidRPr="00220878">
        <w:rPr>
          <w:color w:val="auto"/>
          <w:sz w:val="28"/>
          <w:szCs w:val="28"/>
        </w:rPr>
        <w:t xml:space="preserve"> в 20</w:t>
      </w:r>
      <w:r w:rsidR="002514B4" w:rsidRPr="00220878">
        <w:rPr>
          <w:color w:val="auto"/>
          <w:sz w:val="28"/>
          <w:szCs w:val="28"/>
        </w:rPr>
        <w:t>2</w:t>
      </w:r>
      <w:r w:rsidR="00541F6C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году составила</w:t>
      </w:r>
      <w:r w:rsidRPr="00220878">
        <w:rPr>
          <w:color w:val="FF0000"/>
          <w:sz w:val="28"/>
          <w:szCs w:val="28"/>
        </w:rPr>
        <w:t xml:space="preserve"> </w:t>
      </w:r>
      <w:r w:rsidRPr="00220878">
        <w:rPr>
          <w:color w:val="auto"/>
          <w:sz w:val="28"/>
          <w:szCs w:val="28"/>
        </w:rPr>
        <w:t>5,</w:t>
      </w:r>
      <w:r w:rsidR="002514B4" w:rsidRPr="00220878">
        <w:rPr>
          <w:color w:val="auto"/>
          <w:sz w:val="28"/>
          <w:szCs w:val="28"/>
        </w:rPr>
        <w:t>2</w:t>
      </w:r>
      <w:r w:rsidR="002C15A3" w:rsidRPr="00220878">
        <w:rPr>
          <w:color w:val="auto"/>
          <w:sz w:val="28"/>
          <w:szCs w:val="28"/>
        </w:rPr>
        <w:t>0</w:t>
      </w:r>
      <w:r w:rsidRPr="00220878">
        <w:rPr>
          <w:color w:val="auto"/>
          <w:sz w:val="28"/>
          <w:szCs w:val="28"/>
        </w:rPr>
        <w:t xml:space="preserve">3 тыс. чел., что на </w:t>
      </w:r>
      <w:r w:rsidR="002514B4" w:rsidRPr="00220878">
        <w:rPr>
          <w:color w:val="auto"/>
          <w:sz w:val="28"/>
          <w:szCs w:val="28"/>
        </w:rPr>
        <w:t>1,</w:t>
      </w:r>
      <w:r w:rsidR="002C15A3" w:rsidRPr="00220878">
        <w:rPr>
          <w:color w:val="auto"/>
          <w:sz w:val="28"/>
          <w:szCs w:val="28"/>
        </w:rPr>
        <w:t>3</w:t>
      </w:r>
      <w:r w:rsidRPr="00220878">
        <w:rPr>
          <w:color w:val="auto"/>
          <w:sz w:val="28"/>
          <w:szCs w:val="28"/>
        </w:rPr>
        <w:t xml:space="preserve"> % м</w:t>
      </w:r>
      <w:r w:rsidR="002514B4" w:rsidRPr="00220878">
        <w:rPr>
          <w:color w:val="auto"/>
          <w:sz w:val="28"/>
          <w:szCs w:val="28"/>
        </w:rPr>
        <w:t>еньше</w:t>
      </w:r>
      <w:r w:rsidR="002514B4" w:rsidRPr="00220878">
        <w:rPr>
          <w:color w:val="FF0000"/>
          <w:sz w:val="28"/>
          <w:szCs w:val="28"/>
        </w:rPr>
        <w:t xml:space="preserve"> </w:t>
      </w:r>
      <w:r w:rsidR="002514B4" w:rsidRPr="00220878">
        <w:rPr>
          <w:color w:val="auto"/>
          <w:sz w:val="28"/>
          <w:szCs w:val="28"/>
        </w:rPr>
        <w:t>по сравнению с уровнем 20</w:t>
      </w:r>
      <w:r w:rsidR="00541F6C" w:rsidRPr="00220878">
        <w:rPr>
          <w:color w:val="auto"/>
          <w:sz w:val="28"/>
          <w:szCs w:val="28"/>
        </w:rPr>
        <w:t>20</w:t>
      </w:r>
      <w:r w:rsidRPr="00220878">
        <w:rPr>
          <w:color w:val="auto"/>
          <w:sz w:val="28"/>
          <w:szCs w:val="28"/>
        </w:rPr>
        <w:t xml:space="preserve"> года</w:t>
      </w:r>
      <w:r w:rsidRPr="00220878">
        <w:rPr>
          <w:color w:val="FF0000"/>
          <w:sz w:val="28"/>
          <w:szCs w:val="28"/>
        </w:rPr>
        <w:t xml:space="preserve">. </w:t>
      </w:r>
      <w:r w:rsidRPr="00220878">
        <w:rPr>
          <w:color w:val="auto"/>
          <w:sz w:val="28"/>
          <w:szCs w:val="28"/>
        </w:rPr>
        <w:t>Прогнозируется, что в 202</w:t>
      </w:r>
      <w:r w:rsidR="00541F6C" w:rsidRPr="00220878">
        <w:rPr>
          <w:color w:val="auto"/>
          <w:sz w:val="28"/>
          <w:szCs w:val="28"/>
        </w:rPr>
        <w:t>5</w:t>
      </w:r>
      <w:r w:rsidRPr="00220878">
        <w:rPr>
          <w:color w:val="auto"/>
          <w:sz w:val="28"/>
          <w:szCs w:val="28"/>
        </w:rPr>
        <w:t xml:space="preserve"> году численность занятых в экономике уменьшится по сравнению с 20</w:t>
      </w:r>
      <w:r w:rsidR="002514B4" w:rsidRPr="00220878">
        <w:rPr>
          <w:color w:val="auto"/>
          <w:sz w:val="28"/>
          <w:szCs w:val="28"/>
        </w:rPr>
        <w:t>2</w:t>
      </w:r>
      <w:r w:rsidR="00541F6C" w:rsidRPr="00220878">
        <w:rPr>
          <w:color w:val="auto"/>
          <w:sz w:val="28"/>
          <w:szCs w:val="28"/>
        </w:rPr>
        <w:t>1</w:t>
      </w:r>
      <w:r w:rsidRPr="00220878">
        <w:rPr>
          <w:color w:val="auto"/>
          <w:sz w:val="28"/>
          <w:szCs w:val="28"/>
        </w:rPr>
        <w:t xml:space="preserve"> годом на </w:t>
      </w:r>
      <w:r w:rsidR="002C15A3" w:rsidRPr="00220878">
        <w:rPr>
          <w:color w:val="auto"/>
          <w:sz w:val="28"/>
          <w:szCs w:val="28"/>
        </w:rPr>
        <w:t>2,6</w:t>
      </w:r>
      <w:r w:rsidRPr="00220878">
        <w:rPr>
          <w:color w:val="auto"/>
          <w:sz w:val="28"/>
          <w:szCs w:val="28"/>
        </w:rPr>
        <w:t xml:space="preserve"> – 2,</w:t>
      </w:r>
      <w:r w:rsidR="002C15A3" w:rsidRPr="00220878">
        <w:rPr>
          <w:color w:val="auto"/>
          <w:sz w:val="28"/>
          <w:szCs w:val="28"/>
        </w:rPr>
        <w:t>3</w:t>
      </w:r>
      <w:r w:rsidRPr="00220878">
        <w:rPr>
          <w:color w:val="auto"/>
          <w:sz w:val="28"/>
          <w:szCs w:val="28"/>
        </w:rPr>
        <w:t xml:space="preserve"> % и составит по 1 варианту прогноза</w:t>
      </w:r>
      <w:r w:rsidRPr="00220878">
        <w:rPr>
          <w:color w:val="FF0000"/>
          <w:sz w:val="28"/>
          <w:szCs w:val="28"/>
        </w:rPr>
        <w:t xml:space="preserve"> </w:t>
      </w:r>
      <w:r w:rsidRPr="00220878">
        <w:rPr>
          <w:color w:val="auto"/>
          <w:sz w:val="28"/>
          <w:szCs w:val="28"/>
        </w:rPr>
        <w:t>5,</w:t>
      </w:r>
      <w:r w:rsidR="002514B4" w:rsidRPr="00220878">
        <w:rPr>
          <w:color w:val="auto"/>
          <w:sz w:val="28"/>
          <w:szCs w:val="28"/>
        </w:rPr>
        <w:t>0</w:t>
      </w:r>
      <w:r w:rsidR="002C15A3" w:rsidRPr="00220878">
        <w:rPr>
          <w:color w:val="auto"/>
          <w:sz w:val="28"/>
          <w:szCs w:val="28"/>
        </w:rPr>
        <w:t>7</w:t>
      </w:r>
      <w:r w:rsidRPr="00220878">
        <w:rPr>
          <w:color w:val="auto"/>
          <w:sz w:val="28"/>
          <w:szCs w:val="28"/>
        </w:rPr>
        <w:t xml:space="preserve"> тыс. человек, по 2 варианту – 5,</w:t>
      </w:r>
      <w:r w:rsidR="002C15A3" w:rsidRPr="00220878">
        <w:rPr>
          <w:color w:val="auto"/>
          <w:sz w:val="28"/>
          <w:szCs w:val="28"/>
        </w:rPr>
        <w:t>082</w:t>
      </w:r>
      <w:r w:rsidRPr="00220878">
        <w:rPr>
          <w:color w:val="auto"/>
          <w:sz w:val="28"/>
          <w:szCs w:val="28"/>
        </w:rPr>
        <w:t xml:space="preserve"> тыс. человек.</w:t>
      </w:r>
    </w:p>
    <w:p w:rsidR="00B114E3" w:rsidRPr="00220878" w:rsidRDefault="00B114E3" w:rsidP="00C62B80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 xml:space="preserve">С целью недопущения роста напряженности на рынке труда в </w:t>
      </w:r>
      <w:proofErr w:type="spellStart"/>
      <w:r w:rsidRPr="00220878">
        <w:rPr>
          <w:color w:val="auto"/>
          <w:sz w:val="28"/>
          <w:szCs w:val="28"/>
        </w:rPr>
        <w:t>Западнодвинском</w:t>
      </w:r>
      <w:proofErr w:type="spellEnd"/>
      <w:r w:rsidRPr="00220878">
        <w:rPr>
          <w:color w:val="auto"/>
          <w:sz w:val="28"/>
          <w:szCs w:val="28"/>
        </w:rPr>
        <w:t xml:space="preserve"> муниципальном округе ведется работа по созданию новых рабочих мест,  за счет реализации  инвестиционного проекта на территории бывшего градообразующего предприятия ОАО "Деревообработчик", а также </w:t>
      </w:r>
      <w:r w:rsidRPr="00220878">
        <w:rPr>
          <w:color w:val="auto"/>
          <w:sz w:val="28"/>
          <w:szCs w:val="28"/>
        </w:rPr>
        <w:lastRenderedPageBreak/>
        <w:t xml:space="preserve">переобучению граждан </w:t>
      </w:r>
      <w:proofErr w:type="spellStart"/>
      <w:r w:rsidRPr="00220878">
        <w:rPr>
          <w:color w:val="auto"/>
          <w:sz w:val="28"/>
          <w:szCs w:val="28"/>
        </w:rPr>
        <w:t>предпенсионного</w:t>
      </w:r>
      <w:proofErr w:type="spellEnd"/>
      <w:r w:rsidRPr="00220878">
        <w:rPr>
          <w:color w:val="auto"/>
          <w:sz w:val="28"/>
          <w:szCs w:val="28"/>
        </w:rPr>
        <w:t xml:space="preserve"> возраста в рамках регионального проекта "Старшее поколение".</w:t>
      </w:r>
    </w:p>
    <w:p w:rsidR="00EE3DC4" w:rsidRPr="00220878" w:rsidRDefault="00EE3DC4" w:rsidP="00C62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Планируется, что в 2022 году уровень официально зарегистрированной безработицы увеличится</w:t>
      </w:r>
      <w:r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на</w:t>
      </w:r>
      <w:r w:rsidR="00012800" w:rsidRPr="00220878">
        <w:rPr>
          <w:rFonts w:ascii="Times New Roman" w:hAnsi="Times New Roman" w:cs="Times New Roman"/>
          <w:sz w:val="28"/>
          <w:szCs w:val="28"/>
        </w:rPr>
        <w:t xml:space="preserve"> 0,7 </w:t>
      </w:r>
      <w:proofErr w:type="gramStart"/>
      <w:r w:rsidRPr="00220878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220878">
        <w:rPr>
          <w:rFonts w:ascii="Times New Roman" w:hAnsi="Times New Roman" w:cs="Times New Roman"/>
          <w:sz w:val="28"/>
          <w:szCs w:val="28"/>
        </w:rPr>
        <w:t xml:space="preserve"> пункта и составит </w:t>
      </w:r>
      <w:r w:rsidR="00012800" w:rsidRPr="00220878">
        <w:rPr>
          <w:rFonts w:ascii="Times New Roman" w:hAnsi="Times New Roman" w:cs="Times New Roman"/>
          <w:sz w:val="28"/>
          <w:szCs w:val="28"/>
        </w:rPr>
        <w:t>2,4</w:t>
      </w:r>
      <w:r w:rsidRPr="00220878">
        <w:rPr>
          <w:rFonts w:ascii="Times New Roman" w:hAnsi="Times New Roman" w:cs="Times New Roman"/>
          <w:sz w:val="28"/>
          <w:szCs w:val="28"/>
        </w:rPr>
        <w:t xml:space="preserve">%  (в 2021 году – 1,7%). В прогнозном периоде значение показателя будет ежегодно снижаться и к концу 2025 года составит  - </w:t>
      </w:r>
      <w:r w:rsidR="00012800" w:rsidRPr="00220878">
        <w:rPr>
          <w:rFonts w:ascii="Times New Roman" w:hAnsi="Times New Roman" w:cs="Times New Roman"/>
          <w:sz w:val="28"/>
          <w:szCs w:val="28"/>
        </w:rPr>
        <w:t>1,9</w:t>
      </w:r>
      <w:r w:rsidRPr="0022087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E3DC4" w:rsidRPr="00220878" w:rsidRDefault="00EE3DC4" w:rsidP="00C62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78">
        <w:rPr>
          <w:rFonts w:ascii="Times New Roman" w:hAnsi="Times New Roman" w:cs="Times New Roman"/>
          <w:sz w:val="28"/>
          <w:szCs w:val="28"/>
        </w:rPr>
        <w:t xml:space="preserve">Снижению напряженности на рынке труда будет способствовать реализация антикризисных мер как на  региональном, так и на муниципальном уровнях, включающих дополнительные мероприятия в сфере занятости населения, создание новых рабочих мест в процессе реализации инвестиционных проектов и модернизации предприятий реального сектора экономики, восстановление развития сектора индивидуального, малого и среднего предпринимательства и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EE3DC4" w:rsidRPr="00220878" w:rsidRDefault="00D6548D" w:rsidP="00C62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По итогам 2021 года уровень среднемесячной заработной платы составил 23066 рублей</w:t>
      </w:r>
      <w:r w:rsidR="00EE3DC4" w:rsidRPr="00220878">
        <w:rPr>
          <w:rFonts w:ascii="Times New Roman" w:hAnsi="Times New Roman" w:cs="Times New Roman"/>
          <w:sz w:val="28"/>
          <w:szCs w:val="28"/>
        </w:rPr>
        <w:t xml:space="preserve">, или 106,8% к уровню 2020 года. Данное увеличение обусловлено в основном доведением уровня средней заработной платы работников образовательной сферы,  культуры и спорта </w:t>
      </w:r>
      <w:proofErr w:type="gramStart"/>
      <w:r w:rsidR="00EE3DC4" w:rsidRPr="00220878"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 w:rsidR="00EE3DC4" w:rsidRPr="00220878">
        <w:rPr>
          <w:rFonts w:ascii="Times New Roman" w:hAnsi="Times New Roman" w:cs="Times New Roman"/>
          <w:sz w:val="28"/>
          <w:szCs w:val="28"/>
        </w:rPr>
        <w:t xml:space="preserve"> Президента РФ, выплатой премиальных государственным и муниципальным служащим к концу года и увеличением МРОТ. </w:t>
      </w:r>
    </w:p>
    <w:p w:rsidR="00D6548D" w:rsidRPr="00220878" w:rsidRDefault="00D6548D" w:rsidP="00C62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одного работника за 2022 год</w:t>
      </w:r>
      <w:r w:rsidR="00EE3DC4" w:rsidRPr="00220878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220878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EE3DC4" w:rsidRPr="00220878">
        <w:rPr>
          <w:rFonts w:ascii="Times New Roman" w:hAnsi="Times New Roman" w:cs="Times New Roman"/>
          <w:sz w:val="28"/>
          <w:szCs w:val="28"/>
        </w:rPr>
        <w:t>ь</w:t>
      </w:r>
      <w:r w:rsidRPr="00220878">
        <w:rPr>
          <w:rFonts w:ascii="Times New Roman" w:hAnsi="Times New Roman" w:cs="Times New Roman"/>
          <w:sz w:val="28"/>
          <w:szCs w:val="28"/>
        </w:rPr>
        <w:t xml:space="preserve"> 24 552 рубля, или 106,4 % к уровню 2021 года. Замедление темпов роста заработной платы связано со снижением финансового обеспечения мероприятий, направленных на профилактику и устранение последствий распространения новой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инфекции относительно уровня 2020 года на фоне растущей инфляции, увеличивающихся издержек и падения прибыли предприятий.</w:t>
      </w:r>
    </w:p>
    <w:p w:rsidR="00D6548D" w:rsidRPr="00220878" w:rsidRDefault="00D6548D" w:rsidP="00C62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В прогнозном периоде 2023 – 2025 годов ожидается умеренный темп роста заработной платы (в пределах 0,5-2,6 % ежегодно). К 2025 году планируется, что средняя заработная плата увеличится на 9,6 % к уровню 2021 года и составит 25 270 рублей (по региону увеличится на </w:t>
      </w:r>
      <w:r w:rsidR="00835A39" w:rsidRPr="00220878">
        <w:rPr>
          <w:rFonts w:ascii="Times New Roman" w:hAnsi="Times New Roman" w:cs="Times New Roman"/>
          <w:sz w:val="28"/>
          <w:szCs w:val="28"/>
        </w:rPr>
        <w:t>49,2</w:t>
      </w:r>
      <w:r w:rsidRPr="00220878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835A39" w:rsidRPr="00220878">
        <w:rPr>
          <w:rFonts w:ascii="Times New Roman" w:hAnsi="Times New Roman" w:cs="Times New Roman"/>
          <w:sz w:val="28"/>
          <w:szCs w:val="28"/>
        </w:rPr>
        <w:t>50060,1</w:t>
      </w:r>
      <w:r w:rsidRPr="00220878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2C15A3" w:rsidRPr="00220878" w:rsidRDefault="002C15A3" w:rsidP="00E24446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</w:p>
    <w:p w:rsidR="004A07B0" w:rsidRPr="00220878" w:rsidRDefault="004A07B0" w:rsidP="004A07B0">
      <w:pPr>
        <w:pStyle w:val="Default"/>
        <w:spacing w:line="276" w:lineRule="auto"/>
        <w:ind w:firstLine="540"/>
        <w:jc w:val="center"/>
        <w:rPr>
          <w:color w:val="auto"/>
          <w:sz w:val="28"/>
          <w:szCs w:val="28"/>
        </w:rPr>
      </w:pPr>
      <w:r w:rsidRPr="00220878">
        <w:rPr>
          <w:color w:val="auto"/>
          <w:sz w:val="28"/>
          <w:szCs w:val="28"/>
        </w:rPr>
        <w:t xml:space="preserve">Раздел </w:t>
      </w:r>
      <w:r w:rsidR="00652509" w:rsidRPr="00220878">
        <w:rPr>
          <w:color w:val="auto"/>
          <w:sz w:val="28"/>
          <w:szCs w:val="28"/>
          <w:lang w:val="en-US"/>
        </w:rPr>
        <w:t>X</w:t>
      </w:r>
      <w:r w:rsidR="00652509" w:rsidRPr="00220878">
        <w:rPr>
          <w:color w:val="auto"/>
          <w:sz w:val="28"/>
          <w:szCs w:val="28"/>
        </w:rPr>
        <w:t>.</w:t>
      </w:r>
      <w:r w:rsidRPr="00220878">
        <w:rPr>
          <w:color w:val="auto"/>
          <w:sz w:val="28"/>
          <w:szCs w:val="28"/>
        </w:rPr>
        <w:t xml:space="preserve"> Основные параметры муниципальных программ Западнодвинского муниципального округа Тверской области</w:t>
      </w:r>
    </w:p>
    <w:p w:rsidR="00AF0507" w:rsidRPr="00220878" w:rsidRDefault="00AF0507" w:rsidP="004A07B0">
      <w:pPr>
        <w:pStyle w:val="Default"/>
        <w:spacing w:line="276" w:lineRule="auto"/>
        <w:ind w:firstLine="540"/>
        <w:jc w:val="center"/>
        <w:rPr>
          <w:color w:val="auto"/>
          <w:sz w:val="28"/>
          <w:szCs w:val="28"/>
        </w:rPr>
      </w:pPr>
    </w:p>
    <w:p w:rsidR="00AF0507" w:rsidRPr="00220878" w:rsidRDefault="00490F5B" w:rsidP="00B02FE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087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07B0" w:rsidRPr="00220878">
        <w:rPr>
          <w:rFonts w:ascii="Times New Roman" w:hAnsi="Times New Roman" w:cs="Times New Roman"/>
          <w:sz w:val="28"/>
          <w:szCs w:val="28"/>
        </w:rPr>
        <w:t>С 201</w:t>
      </w:r>
      <w:r w:rsidRPr="00220878">
        <w:rPr>
          <w:rFonts w:ascii="Times New Roman" w:hAnsi="Times New Roman" w:cs="Times New Roman"/>
          <w:sz w:val="28"/>
          <w:szCs w:val="28"/>
        </w:rPr>
        <w:t>3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года осуществлен переход</w:t>
      </w:r>
      <w:r w:rsidR="00541F6C" w:rsidRPr="00220878">
        <w:rPr>
          <w:rFonts w:ascii="Times New Roman" w:hAnsi="Times New Roman" w:cs="Times New Roman"/>
          <w:sz w:val="28"/>
          <w:szCs w:val="28"/>
        </w:rPr>
        <w:t>, на тот период,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на формирование и исполнение консолидированного бюджета Западнодвинского </w:t>
      </w:r>
      <w:r w:rsidR="002514B4"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(далее – </w:t>
      </w:r>
      <w:proofErr w:type="spellStart"/>
      <w:r w:rsidR="004A07B0" w:rsidRPr="00220878">
        <w:rPr>
          <w:rFonts w:ascii="Times New Roman" w:hAnsi="Times New Roman" w:cs="Times New Roman"/>
          <w:sz w:val="28"/>
          <w:szCs w:val="28"/>
        </w:rPr>
        <w:t>Мунпрограммы</w:t>
      </w:r>
      <w:proofErr w:type="spellEnd"/>
      <w:r w:rsidR="004A07B0" w:rsidRPr="00220878">
        <w:rPr>
          <w:rFonts w:ascii="Times New Roman" w:hAnsi="Times New Roman" w:cs="Times New Roman"/>
          <w:sz w:val="28"/>
          <w:szCs w:val="28"/>
        </w:rPr>
        <w:t xml:space="preserve">), которые являются инструментом повышения эффективности бюджетных расходов. Осуществлена автоматизация процессов управления реализацией </w:t>
      </w:r>
      <w:proofErr w:type="spellStart"/>
      <w:r w:rsidR="004A07B0" w:rsidRPr="00220878">
        <w:rPr>
          <w:rFonts w:ascii="Times New Roman" w:hAnsi="Times New Roman" w:cs="Times New Roman"/>
          <w:sz w:val="28"/>
          <w:szCs w:val="28"/>
        </w:rPr>
        <w:t>Мунпрограмм</w:t>
      </w:r>
      <w:proofErr w:type="spellEnd"/>
      <w:r w:rsidR="004A07B0" w:rsidRPr="00220878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 их реализации.</w:t>
      </w:r>
      <w:r w:rsidR="004A07B0" w:rsidRPr="00220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0507" w:rsidRPr="00220878" w:rsidRDefault="00AF0507" w:rsidP="00AF0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220878">
        <w:rPr>
          <w:rFonts w:ascii="Times New Roman" w:hAnsi="Times New Roman" w:cs="Times New Roman"/>
          <w:sz w:val="28"/>
          <w:szCs w:val="28"/>
        </w:rPr>
        <w:t xml:space="preserve">С 1 января 2021 года ввиду преобразования муниципального образования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район в </w:t>
      </w:r>
      <w:proofErr w:type="spellStart"/>
      <w:r w:rsidRPr="00220878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20878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 бюджет Западнодвинского муниципального округа представлен из 12 муниципальных программ.</w:t>
      </w:r>
    </w:p>
    <w:p w:rsidR="00B02FE8" w:rsidRPr="00220878" w:rsidRDefault="00AF0507" w:rsidP="00B02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A07B0" w:rsidRPr="00220878">
        <w:rPr>
          <w:rFonts w:ascii="Times New Roman" w:hAnsi="Times New Roman" w:cs="Times New Roman"/>
          <w:sz w:val="28"/>
          <w:szCs w:val="28"/>
        </w:rPr>
        <w:t>Мунпрограммы</w:t>
      </w:r>
      <w:proofErr w:type="spellEnd"/>
      <w:r w:rsidR="004A07B0" w:rsidRPr="00220878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Порядком разработки, реализации и оценки эффективности ре</w:t>
      </w:r>
      <w:r w:rsidR="00B02FE8" w:rsidRPr="00220878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B02FE8" w:rsidRPr="00220878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</w:t>
      </w:r>
      <w:r w:rsidRPr="002208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от </w:t>
      </w:r>
      <w:r w:rsidR="00490F5B" w:rsidRPr="00220878">
        <w:rPr>
          <w:rFonts w:ascii="Times New Roman" w:hAnsi="Times New Roman" w:cs="Times New Roman"/>
          <w:sz w:val="28"/>
          <w:szCs w:val="28"/>
        </w:rPr>
        <w:t>1</w:t>
      </w:r>
      <w:r w:rsidRPr="00220878">
        <w:rPr>
          <w:rFonts w:ascii="Times New Roman" w:hAnsi="Times New Roman" w:cs="Times New Roman"/>
          <w:sz w:val="28"/>
          <w:szCs w:val="28"/>
        </w:rPr>
        <w:t>7</w:t>
      </w:r>
      <w:r w:rsidR="004A07B0" w:rsidRPr="00220878">
        <w:rPr>
          <w:rFonts w:ascii="Times New Roman" w:hAnsi="Times New Roman" w:cs="Times New Roman"/>
          <w:sz w:val="28"/>
          <w:szCs w:val="28"/>
        </w:rPr>
        <w:t>.0</w:t>
      </w:r>
      <w:r w:rsidRPr="00220878">
        <w:rPr>
          <w:rFonts w:ascii="Times New Roman" w:hAnsi="Times New Roman" w:cs="Times New Roman"/>
          <w:sz w:val="28"/>
          <w:szCs w:val="28"/>
        </w:rPr>
        <w:t>5</w:t>
      </w:r>
      <w:r w:rsidR="004A07B0" w:rsidRPr="00220878">
        <w:rPr>
          <w:rFonts w:ascii="Times New Roman" w:hAnsi="Times New Roman" w:cs="Times New Roman"/>
          <w:sz w:val="28"/>
          <w:szCs w:val="28"/>
        </w:rPr>
        <w:t>.20</w:t>
      </w:r>
      <w:r w:rsidRPr="00220878">
        <w:rPr>
          <w:rFonts w:ascii="Times New Roman" w:hAnsi="Times New Roman" w:cs="Times New Roman"/>
          <w:sz w:val="28"/>
          <w:szCs w:val="28"/>
        </w:rPr>
        <w:t>22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№ </w:t>
      </w:r>
      <w:r w:rsidRPr="00220878">
        <w:rPr>
          <w:rFonts w:ascii="Times New Roman" w:hAnsi="Times New Roman" w:cs="Times New Roman"/>
          <w:sz w:val="28"/>
          <w:szCs w:val="28"/>
        </w:rPr>
        <w:t>22</w:t>
      </w:r>
      <w:r w:rsidR="00B02FE8" w:rsidRPr="00220878">
        <w:rPr>
          <w:rFonts w:ascii="Times New Roman" w:hAnsi="Times New Roman" w:cs="Times New Roman"/>
          <w:sz w:val="28"/>
          <w:szCs w:val="28"/>
        </w:rPr>
        <w:t>3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«</w:t>
      </w:r>
      <w:r w:rsidR="00B02FE8" w:rsidRPr="00220878">
        <w:rPr>
          <w:rFonts w:ascii="Times New Roman" w:hAnsi="Times New Roman" w:cs="Times New Roman"/>
          <w:sz w:val="28"/>
          <w:szCs w:val="28"/>
        </w:rPr>
        <w:t xml:space="preserve">О Порядке принятия решений о разработке муниципальных программ, формирования, реализации и проведения </w:t>
      </w:r>
      <w:proofErr w:type="gramStart"/>
      <w:r w:rsidR="00B02FE8" w:rsidRPr="00220878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B02FE8" w:rsidRPr="0022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FE8" w:rsidRPr="00220878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B02FE8" w:rsidRP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220878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B02FE8" w:rsidRPr="00220878">
        <w:rPr>
          <w:rFonts w:ascii="Times New Roman" w:hAnsi="Times New Roman" w:cs="Times New Roman"/>
          <w:sz w:val="28"/>
          <w:szCs w:val="28"/>
        </w:rPr>
        <w:t xml:space="preserve"> Тверской области"</w:t>
      </w:r>
      <w:r w:rsidR="002514B4" w:rsidRPr="00220878">
        <w:rPr>
          <w:rFonts w:ascii="Times New Roman" w:hAnsi="Times New Roman" w:cs="Times New Roman"/>
          <w:sz w:val="28"/>
          <w:szCs w:val="28"/>
        </w:rPr>
        <w:t>.</w:t>
      </w:r>
    </w:p>
    <w:p w:rsidR="006712E4" w:rsidRPr="00220878" w:rsidRDefault="002514B4" w:rsidP="00AF0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A07B0" w:rsidRPr="0022087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="004A07B0" w:rsidRPr="00220878">
        <w:rPr>
          <w:rFonts w:ascii="Times New Roman" w:hAnsi="Times New Roman" w:cs="Times New Roman"/>
          <w:sz w:val="28"/>
          <w:szCs w:val="28"/>
        </w:rPr>
        <w:t>Мунпрограмм</w:t>
      </w:r>
      <w:proofErr w:type="spellEnd"/>
      <w:r w:rsidR="004A07B0" w:rsidRPr="00220878">
        <w:rPr>
          <w:rFonts w:ascii="Times New Roman" w:hAnsi="Times New Roman" w:cs="Times New Roman"/>
          <w:sz w:val="28"/>
          <w:szCs w:val="28"/>
        </w:rPr>
        <w:t xml:space="preserve"> в обязательном порядке учитывались положения: документов стратегического планирования, разрабатываемых на федеральном уровне</w:t>
      </w:r>
      <w:r w:rsidR="00B17154" w:rsidRPr="00220878">
        <w:rPr>
          <w:rFonts w:ascii="Times New Roman" w:hAnsi="Times New Roman" w:cs="Times New Roman"/>
          <w:sz w:val="28"/>
          <w:szCs w:val="28"/>
        </w:rPr>
        <w:t>,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="00B17154" w:rsidRPr="00220878">
        <w:rPr>
          <w:rFonts w:ascii="Times New Roman" w:hAnsi="Times New Roman" w:cs="Times New Roman"/>
          <w:sz w:val="28"/>
          <w:szCs w:val="28"/>
        </w:rPr>
        <w:t xml:space="preserve"> и муниципальном уровнях</w:t>
      </w:r>
      <w:r w:rsidR="004A07B0" w:rsidRPr="00220878">
        <w:rPr>
          <w:rFonts w:ascii="Times New Roman" w:hAnsi="Times New Roman" w:cs="Times New Roman"/>
          <w:sz w:val="28"/>
          <w:szCs w:val="28"/>
        </w:rPr>
        <w:t xml:space="preserve"> (далее – документы стратегического планирования);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в части реализации задач национальных проектов (программ);</w:t>
      </w:r>
      <w:proofErr w:type="gramEnd"/>
      <w:r w:rsidR="004A07B0" w:rsidRPr="00220878">
        <w:rPr>
          <w:rFonts w:ascii="Times New Roman" w:hAnsi="Times New Roman" w:cs="Times New Roman"/>
          <w:sz w:val="28"/>
          <w:szCs w:val="28"/>
        </w:rPr>
        <w:t xml:space="preserve"> поручений и ежегодных посланий Губернатора Тверской области Законодательному С</w:t>
      </w:r>
      <w:r w:rsidR="00B17154" w:rsidRPr="00220878">
        <w:rPr>
          <w:rFonts w:ascii="Times New Roman" w:hAnsi="Times New Roman" w:cs="Times New Roman"/>
          <w:sz w:val="28"/>
          <w:szCs w:val="28"/>
        </w:rPr>
        <w:t>обранию Тверской.</w:t>
      </w:r>
    </w:p>
    <w:p w:rsidR="00220878" w:rsidRPr="00220878" w:rsidRDefault="0022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878" w:rsidRPr="00220878" w:rsidSect="00220878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520"/>
    <w:rsid w:val="00012800"/>
    <w:rsid w:val="00021520"/>
    <w:rsid w:val="00021E94"/>
    <w:rsid w:val="00041084"/>
    <w:rsid w:val="0004370A"/>
    <w:rsid w:val="0006103E"/>
    <w:rsid w:val="00070BD4"/>
    <w:rsid w:val="0008090E"/>
    <w:rsid w:val="000A4EB1"/>
    <w:rsid w:val="000C33D1"/>
    <w:rsid w:val="000E73D8"/>
    <w:rsid w:val="001406D7"/>
    <w:rsid w:val="0014706F"/>
    <w:rsid w:val="00160E6F"/>
    <w:rsid w:val="00162094"/>
    <w:rsid w:val="001832B9"/>
    <w:rsid w:val="001C201C"/>
    <w:rsid w:val="001C6B7E"/>
    <w:rsid w:val="001D3CF5"/>
    <w:rsid w:val="001E20D7"/>
    <w:rsid w:val="001E2BD6"/>
    <w:rsid w:val="001F282F"/>
    <w:rsid w:val="0020457B"/>
    <w:rsid w:val="00220878"/>
    <w:rsid w:val="0022691C"/>
    <w:rsid w:val="00227E3C"/>
    <w:rsid w:val="00243C23"/>
    <w:rsid w:val="002514B4"/>
    <w:rsid w:val="00274407"/>
    <w:rsid w:val="002815C9"/>
    <w:rsid w:val="002874A0"/>
    <w:rsid w:val="002B3F19"/>
    <w:rsid w:val="002C15A3"/>
    <w:rsid w:val="002D3D8A"/>
    <w:rsid w:val="002D60A1"/>
    <w:rsid w:val="00361A09"/>
    <w:rsid w:val="003745A3"/>
    <w:rsid w:val="00376775"/>
    <w:rsid w:val="00387111"/>
    <w:rsid w:val="00391FF9"/>
    <w:rsid w:val="003A50EA"/>
    <w:rsid w:val="003A5D45"/>
    <w:rsid w:val="003B6510"/>
    <w:rsid w:val="003D4053"/>
    <w:rsid w:val="004700AB"/>
    <w:rsid w:val="00471353"/>
    <w:rsid w:val="00483497"/>
    <w:rsid w:val="00490F5B"/>
    <w:rsid w:val="00495C94"/>
    <w:rsid w:val="004A07B0"/>
    <w:rsid w:val="004A65F4"/>
    <w:rsid w:val="004A6F3E"/>
    <w:rsid w:val="004B22C2"/>
    <w:rsid w:val="004B2EC7"/>
    <w:rsid w:val="004B4AFE"/>
    <w:rsid w:val="004C0842"/>
    <w:rsid w:val="004E137B"/>
    <w:rsid w:val="005274B4"/>
    <w:rsid w:val="00530BB6"/>
    <w:rsid w:val="00541472"/>
    <w:rsid w:val="00541F6C"/>
    <w:rsid w:val="005446D0"/>
    <w:rsid w:val="00550B95"/>
    <w:rsid w:val="005922B9"/>
    <w:rsid w:val="005A4132"/>
    <w:rsid w:val="005E218C"/>
    <w:rsid w:val="00604EE6"/>
    <w:rsid w:val="006116DB"/>
    <w:rsid w:val="00641AEB"/>
    <w:rsid w:val="00652509"/>
    <w:rsid w:val="006548F4"/>
    <w:rsid w:val="00667CDC"/>
    <w:rsid w:val="006712E4"/>
    <w:rsid w:val="006B08CB"/>
    <w:rsid w:val="006B6E6D"/>
    <w:rsid w:val="006E20C2"/>
    <w:rsid w:val="006E347A"/>
    <w:rsid w:val="00700C0F"/>
    <w:rsid w:val="00722332"/>
    <w:rsid w:val="00725016"/>
    <w:rsid w:val="0076716C"/>
    <w:rsid w:val="00773D38"/>
    <w:rsid w:val="007E34FB"/>
    <w:rsid w:val="007E5941"/>
    <w:rsid w:val="00802048"/>
    <w:rsid w:val="00805168"/>
    <w:rsid w:val="00817330"/>
    <w:rsid w:val="00823978"/>
    <w:rsid w:val="008322BC"/>
    <w:rsid w:val="00835A39"/>
    <w:rsid w:val="008A4964"/>
    <w:rsid w:val="008B1D09"/>
    <w:rsid w:val="008C604D"/>
    <w:rsid w:val="008D131B"/>
    <w:rsid w:val="008D567A"/>
    <w:rsid w:val="008F1424"/>
    <w:rsid w:val="008F4328"/>
    <w:rsid w:val="0090075E"/>
    <w:rsid w:val="00911521"/>
    <w:rsid w:val="00913F6B"/>
    <w:rsid w:val="00967797"/>
    <w:rsid w:val="009966A7"/>
    <w:rsid w:val="009A44DF"/>
    <w:rsid w:val="009B2C5D"/>
    <w:rsid w:val="009B7D9E"/>
    <w:rsid w:val="009D33B6"/>
    <w:rsid w:val="009E14EF"/>
    <w:rsid w:val="009E458E"/>
    <w:rsid w:val="00A53CC3"/>
    <w:rsid w:val="00A71D57"/>
    <w:rsid w:val="00A869FF"/>
    <w:rsid w:val="00AA145A"/>
    <w:rsid w:val="00AB768A"/>
    <w:rsid w:val="00AE189B"/>
    <w:rsid w:val="00AE341F"/>
    <w:rsid w:val="00AE3F0A"/>
    <w:rsid w:val="00AF0507"/>
    <w:rsid w:val="00B02FE8"/>
    <w:rsid w:val="00B114E3"/>
    <w:rsid w:val="00B17154"/>
    <w:rsid w:val="00B361CD"/>
    <w:rsid w:val="00B4096A"/>
    <w:rsid w:val="00B57F48"/>
    <w:rsid w:val="00B63658"/>
    <w:rsid w:val="00B6773C"/>
    <w:rsid w:val="00B7330B"/>
    <w:rsid w:val="00B7528F"/>
    <w:rsid w:val="00B767DF"/>
    <w:rsid w:val="00B96E72"/>
    <w:rsid w:val="00BA001C"/>
    <w:rsid w:val="00BC7201"/>
    <w:rsid w:val="00BE52D2"/>
    <w:rsid w:val="00BF7A58"/>
    <w:rsid w:val="00C07A4E"/>
    <w:rsid w:val="00C35C1E"/>
    <w:rsid w:val="00C53646"/>
    <w:rsid w:val="00C62B80"/>
    <w:rsid w:val="00C66CC1"/>
    <w:rsid w:val="00D154CB"/>
    <w:rsid w:val="00D17E82"/>
    <w:rsid w:val="00D26CD0"/>
    <w:rsid w:val="00D3269D"/>
    <w:rsid w:val="00D470CD"/>
    <w:rsid w:val="00D6548D"/>
    <w:rsid w:val="00D7122D"/>
    <w:rsid w:val="00D81449"/>
    <w:rsid w:val="00DA08C1"/>
    <w:rsid w:val="00DB42EB"/>
    <w:rsid w:val="00DB7576"/>
    <w:rsid w:val="00DD5AE3"/>
    <w:rsid w:val="00DE7ACD"/>
    <w:rsid w:val="00E02583"/>
    <w:rsid w:val="00E24446"/>
    <w:rsid w:val="00E3013F"/>
    <w:rsid w:val="00E4699B"/>
    <w:rsid w:val="00E507D0"/>
    <w:rsid w:val="00E624E5"/>
    <w:rsid w:val="00E71C6E"/>
    <w:rsid w:val="00E720BB"/>
    <w:rsid w:val="00E874E2"/>
    <w:rsid w:val="00EA23F6"/>
    <w:rsid w:val="00EA61F3"/>
    <w:rsid w:val="00EB28E6"/>
    <w:rsid w:val="00EB4CD3"/>
    <w:rsid w:val="00EC521F"/>
    <w:rsid w:val="00EC541E"/>
    <w:rsid w:val="00EE3DC4"/>
    <w:rsid w:val="00EF25E2"/>
    <w:rsid w:val="00F05F27"/>
    <w:rsid w:val="00F11B6E"/>
    <w:rsid w:val="00F34707"/>
    <w:rsid w:val="00F6393D"/>
    <w:rsid w:val="00F7566B"/>
    <w:rsid w:val="00FA7BA0"/>
    <w:rsid w:val="00FD4D2E"/>
    <w:rsid w:val="00FE06C0"/>
    <w:rsid w:val="00FE1564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152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021520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Default">
    <w:name w:val="Default"/>
    <w:rsid w:val="0002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43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490F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0F5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6712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12E4"/>
  </w:style>
  <w:style w:type="paragraph" w:styleId="a7">
    <w:name w:val="Normal (Web)"/>
    <w:basedOn w:val="a"/>
    <w:uiPriority w:val="99"/>
    <w:unhideWhenUsed/>
    <w:rsid w:val="0067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227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227E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4851-B0C2-47E1-8F7C-0279C73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2022-10-26T09:23:00Z</cp:lastPrinted>
  <dcterms:created xsi:type="dcterms:W3CDTF">2022-10-26T09:14:00Z</dcterms:created>
  <dcterms:modified xsi:type="dcterms:W3CDTF">2022-10-26T09:28:00Z</dcterms:modified>
</cp:coreProperties>
</file>